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207E0" w14:textId="77777777" w:rsidR="00B86FDA" w:rsidRPr="00022D39" w:rsidRDefault="00B86FDA" w:rsidP="00B86FDA">
      <w:pPr>
        <w:spacing w:line="480" w:lineRule="auto"/>
        <w:jc w:val="center"/>
        <w:rPr>
          <w:rFonts w:ascii="Helvetica" w:hAnsi="Helvetica"/>
        </w:rPr>
      </w:pPr>
    </w:p>
    <w:p w14:paraId="77D4DADD" w14:textId="77777777" w:rsidR="00B86FDA" w:rsidRPr="00022D39" w:rsidRDefault="00B86FDA" w:rsidP="00B86FDA">
      <w:pPr>
        <w:spacing w:line="480" w:lineRule="auto"/>
        <w:jc w:val="center"/>
        <w:rPr>
          <w:rFonts w:ascii="Helvetica" w:hAnsi="Helvetica"/>
        </w:rPr>
      </w:pPr>
    </w:p>
    <w:p w14:paraId="3BDD3CDB" w14:textId="77777777" w:rsidR="00B86FDA" w:rsidRPr="00022D39" w:rsidRDefault="00B86FDA" w:rsidP="00B86FDA">
      <w:pPr>
        <w:spacing w:line="480" w:lineRule="auto"/>
        <w:jc w:val="center"/>
        <w:rPr>
          <w:rFonts w:ascii="Helvetica" w:hAnsi="Helvetica"/>
        </w:rPr>
      </w:pPr>
    </w:p>
    <w:p w14:paraId="5E2D2A89" w14:textId="77777777" w:rsidR="00AB5222" w:rsidRPr="00022D39" w:rsidRDefault="00AB5222" w:rsidP="00B86FDA">
      <w:pPr>
        <w:spacing w:line="480" w:lineRule="auto"/>
        <w:jc w:val="center"/>
        <w:rPr>
          <w:rFonts w:ascii="Helvetica" w:hAnsi="Helvetica"/>
        </w:rPr>
      </w:pPr>
    </w:p>
    <w:p w14:paraId="31747F0B" w14:textId="77777777" w:rsidR="00B86FDA" w:rsidRPr="00022D39" w:rsidRDefault="00B86FDA" w:rsidP="00B86FDA">
      <w:pPr>
        <w:spacing w:line="480" w:lineRule="auto"/>
        <w:jc w:val="center"/>
        <w:rPr>
          <w:rFonts w:ascii="Helvetica" w:hAnsi="Helvetica"/>
        </w:rPr>
      </w:pPr>
    </w:p>
    <w:p w14:paraId="7B445EC8" w14:textId="7701DF4A" w:rsidR="00B86FDA" w:rsidRPr="00022D39" w:rsidRDefault="004D0573" w:rsidP="00B86FDA">
      <w:pPr>
        <w:spacing w:line="480" w:lineRule="auto"/>
        <w:jc w:val="center"/>
        <w:rPr>
          <w:rFonts w:ascii="Helvetica" w:hAnsi="Helvetica"/>
        </w:rPr>
      </w:pPr>
      <w:r w:rsidRPr="00022D39">
        <w:rPr>
          <w:rFonts w:ascii="Helvetica" w:hAnsi="Helvetica"/>
        </w:rPr>
        <w:t>TORT</w:t>
      </w:r>
      <w:r w:rsidR="00BF0F4B" w:rsidRPr="00022D39">
        <w:rPr>
          <w:rFonts w:ascii="Helvetica" w:hAnsi="Helvetica"/>
        </w:rPr>
        <w:t xml:space="preserve"> OF SEDUCTION AND THE OPPRESSION OF WOMEN</w:t>
      </w:r>
    </w:p>
    <w:p w14:paraId="08F51472" w14:textId="77777777" w:rsidR="00B86FDA" w:rsidRPr="00022D39" w:rsidRDefault="00B86FDA" w:rsidP="00B86FDA">
      <w:pPr>
        <w:spacing w:line="480" w:lineRule="auto"/>
        <w:jc w:val="center"/>
        <w:rPr>
          <w:rFonts w:ascii="Helvetica" w:hAnsi="Helvetica"/>
        </w:rPr>
      </w:pPr>
    </w:p>
    <w:p w14:paraId="47FAB4CE" w14:textId="77777777" w:rsidR="00B86FDA" w:rsidRPr="00022D39" w:rsidRDefault="00B86FDA" w:rsidP="00022D39">
      <w:pPr>
        <w:spacing w:line="480" w:lineRule="auto"/>
        <w:rPr>
          <w:rFonts w:ascii="Helvetica" w:hAnsi="Helvetica"/>
        </w:rPr>
      </w:pPr>
    </w:p>
    <w:p w14:paraId="77F729B6" w14:textId="77777777" w:rsidR="00B86FDA" w:rsidRPr="00022D39" w:rsidRDefault="00B86FDA" w:rsidP="00B86FDA">
      <w:pPr>
        <w:spacing w:line="480" w:lineRule="auto"/>
        <w:jc w:val="center"/>
        <w:rPr>
          <w:rFonts w:ascii="Helvetica" w:hAnsi="Helvetica"/>
        </w:rPr>
      </w:pPr>
    </w:p>
    <w:p w14:paraId="5DAA533A" w14:textId="77777777" w:rsidR="00AB5222" w:rsidRPr="00022D39" w:rsidRDefault="00AB5222" w:rsidP="00B86FDA">
      <w:pPr>
        <w:spacing w:line="480" w:lineRule="auto"/>
        <w:jc w:val="center"/>
        <w:rPr>
          <w:rFonts w:ascii="Helvetica" w:hAnsi="Helvetica"/>
        </w:rPr>
      </w:pPr>
    </w:p>
    <w:p w14:paraId="6A47C3BD" w14:textId="77777777" w:rsidR="00AB5222" w:rsidRPr="00022D39" w:rsidRDefault="00AB5222" w:rsidP="00B86FDA">
      <w:pPr>
        <w:spacing w:line="480" w:lineRule="auto"/>
        <w:jc w:val="center"/>
        <w:rPr>
          <w:rFonts w:ascii="Helvetica" w:hAnsi="Helvetica"/>
        </w:rPr>
      </w:pPr>
    </w:p>
    <w:p w14:paraId="60081404" w14:textId="77777777" w:rsidR="00B86FDA" w:rsidRPr="00022D39" w:rsidRDefault="00B86FDA" w:rsidP="00B86FDA">
      <w:pPr>
        <w:spacing w:line="480" w:lineRule="auto"/>
        <w:jc w:val="center"/>
        <w:rPr>
          <w:rFonts w:ascii="Helvetica" w:hAnsi="Helvetica"/>
        </w:rPr>
      </w:pPr>
    </w:p>
    <w:p w14:paraId="30F4C2AF" w14:textId="77777777" w:rsidR="00B86FDA" w:rsidRPr="00022D39" w:rsidRDefault="00B86FDA" w:rsidP="00AB5222">
      <w:pPr>
        <w:jc w:val="center"/>
        <w:rPr>
          <w:rFonts w:ascii="Helvetica" w:hAnsi="Helvetica"/>
        </w:rPr>
      </w:pPr>
      <w:r w:rsidRPr="00022D39">
        <w:rPr>
          <w:rFonts w:ascii="Helvetica" w:hAnsi="Helvetica"/>
        </w:rPr>
        <w:t>Cassandra Rerick</w:t>
      </w:r>
    </w:p>
    <w:p w14:paraId="38DD7643" w14:textId="77777777" w:rsidR="00B86FDA" w:rsidRPr="00022D39" w:rsidRDefault="00B86FDA" w:rsidP="00AB5222">
      <w:pPr>
        <w:jc w:val="center"/>
        <w:rPr>
          <w:rFonts w:ascii="Helvetica" w:hAnsi="Helvetica"/>
        </w:rPr>
      </w:pPr>
      <w:r w:rsidRPr="00022D39">
        <w:rPr>
          <w:rFonts w:ascii="Helvetica" w:hAnsi="Helvetica"/>
        </w:rPr>
        <w:t>T00552614</w:t>
      </w:r>
    </w:p>
    <w:p w14:paraId="230EB525" w14:textId="77777777" w:rsidR="00B86FDA" w:rsidRPr="00022D39" w:rsidRDefault="00B86FDA" w:rsidP="00AB5222">
      <w:pPr>
        <w:jc w:val="center"/>
        <w:rPr>
          <w:rFonts w:ascii="Helvetica" w:hAnsi="Helvetica"/>
        </w:rPr>
      </w:pPr>
      <w:r w:rsidRPr="00022D39">
        <w:rPr>
          <w:rFonts w:ascii="Helvetica" w:hAnsi="Helvetica"/>
        </w:rPr>
        <w:t>History 1120: An Intro to Canadian History</w:t>
      </w:r>
    </w:p>
    <w:p w14:paraId="064806E4" w14:textId="77777777" w:rsidR="00B86FDA" w:rsidRPr="00022D39" w:rsidRDefault="00B86FDA" w:rsidP="00AB5222">
      <w:pPr>
        <w:jc w:val="center"/>
        <w:rPr>
          <w:rFonts w:ascii="Helvetica" w:hAnsi="Helvetica"/>
        </w:rPr>
      </w:pPr>
      <w:r w:rsidRPr="00022D39">
        <w:rPr>
          <w:rFonts w:ascii="Helvetica" w:hAnsi="Helvetica"/>
        </w:rPr>
        <w:t>October 19, 2016</w:t>
      </w:r>
    </w:p>
    <w:p w14:paraId="143D0005" w14:textId="77777777" w:rsidR="00B86FDA" w:rsidRPr="00022D39" w:rsidRDefault="00B86FDA" w:rsidP="00B86FDA">
      <w:pPr>
        <w:rPr>
          <w:rFonts w:ascii="Helvetica" w:hAnsi="Helvetica"/>
        </w:rPr>
      </w:pPr>
    </w:p>
    <w:p w14:paraId="03367339" w14:textId="77777777" w:rsidR="00B86FDA" w:rsidRPr="00022D39" w:rsidRDefault="00B86FDA" w:rsidP="00B86FDA">
      <w:pPr>
        <w:rPr>
          <w:rFonts w:ascii="Helvetica" w:hAnsi="Helvetica"/>
        </w:rPr>
      </w:pPr>
    </w:p>
    <w:p w14:paraId="5AEEF60C" w14:textId="77777777" w:rsidR="00B86FDA" w:rsidRPr="00022D39" w:rsidRDefault="00B86FDA" w:rsidP="00B86FDA">
      <w:pPr>
        <w:rPr>
          <w:rFonts w:ascii="Helvetica" w:hAnsi="Helvetica"/>
        </w:rPr>
      </w:pPr>
    </w:p>
    <w:p w14:paraId="6ECD34BC" w14:textId="77777777" w:rsidR="00B86FDA" w:rsidRPr="00022D39" w:rsidRDefault="00B86FDA" w:rsidP="00723FC1">
      <w:pPr>
        <w:spacing w:line="480" w:lineRule="auto"/>
        <w:ind w:firstLine="720"/>
        <w:rPr>
          <w:rFonts w:ascii="Helvetica" w:hAnsi="Helvetica"/>
        </w:rPr>
      </w:pPr>
    </w:p>
    <w:p w14:paraId="516CF54D" w14:textId="77777777" w:rsidR="00B86FDA" w:rsidRPr="00022D39" w:rsidRDefault="00B86FDA" w:rsidP="00723FC1">
      <w:pPr>
        <w:spacing w:line="480" w:lineRule="auto"/>
        <w:ind w:firstLine="720"/>
        <w:rPr>
          <w:rFonts w:ascii="Helvetica" w:hAnsi="Helvetica"/>
        </w:rPr>
      </w:pPr>
    </w:p>
    <w:p w14:paraId="5C0B5F1E" w14:textId="77777777" w:rsidR="00B86FDA" w:rsidRPr="00022D39" w:rsidRDefault="00B86FDA" w:rsidP="00723FC1">
      <w:pPr>
        <w:spacing w:line="480" w:lineRule="auto"/>
        <w:ind w:firstLine="720"/>
        <w:rPr>
          <w:rFonts w:ascii="Helvetica" w:hAnsi="Helvetica"/>
        </w:rPr>
      </w:pPr>
    </w:p>
    <w:p w14:paraId="3B4CDB10" w14:textId="77777777" w:rsidR="00B86FDA" w:rsidRPr="00022D39" w:rsidRDefault="00B86FDA" w:rsidP="00723FC1">
      <w:pPr>
        <w:spacing w:line="480" w:lineRule="auto"/>
        <w:ind w:firstLine="720"/>
        <w:rPr>
          <w:rFonts w:ascii="Helvetica" w:hAnsi="Helvetica"/>
        </w:rPr>
      </w:pPr>
    </w:p>
    <w:p w14:paraId="0E7CD480" w14:textId="77777777" w:rsidR="00B86FDA" w:rsidRPr="00022D39" w:rsidRDefault="00B86FDA" w:rsidP="00723FC1">
      <w:pPr>
        <w:spacing w:line="480" w:lineRule="auto"/>
        <w:ind w:firstLine="720"/>
        <w:rPr>
          <w:rFonts w:ascii="Helvetica" w:hAnsi="Helvetica"/>
        </w:rPr>
      </w:pPr>
    </w:p>
    <w:p w14:paraId="44A4C6A3" w14:textId="58B21E12" w:rsidR="00945E80" w:rsidRPr="00022D39" w:rsidRDefault="00945E80" w:rsidP="00945E80">
      <w:pPr>
        <w:ind w:left="720" w:hanging="720"/>
        <w:rPr>
          <w:rFonts w:ascii="Helvetica" w:hAnsi="Helvetica"/>
        </w:rPr>
      </w:pPr>
    </w:p>
    <w:p w14:paraId="419820AA" w14:textId="77777777" w:rsidR="00022D39" w:rsidRPr="00022D39" w:rsidRDefault="00022D39" w:rsidP="00022D39">
      <w:pPr>
        <w:spacing w:line="480" w:lineRule="auto"/>
        <w:rPr>
          <w:rFonts w:ascii="Helvetica" w:hAnsi="Helvetica"/>
        </w:rPr>
      </w:pPr>
    </w:p>
    <w:p w14:paraId="1302CB4C" w14:textId="2BEC319A" w:rsidR="004D0573" w:rsidRPr="00022D39" w:rsidRDefault="004D0573" w:rsidP="00022D39">
      <w:pPr>
        <w:spacing w:line="480" w:lineRule="auto"/>
        <w:ind w:firstLine="720"/>
        <w:rPr>
          <w:rFonts w:ascii="Helvetica" w:hAnsi="Helvetica"/>
        </w:rPr>
      </w:pPr>
      <w:r w:rsidRPr="00022D39">
        <w:rPr>
          <w:rFonts w:ascii="Helvetica" w:hAnsi="Helvetica"/>
        </w:rPr>
        <w:lastRenderedPageBreak/>
        <w:t>Women in the 19</w:t>
      </w:r>
      <w:r w:rsidRPr="00022D39">
        <w:rPr>
          <w:rFonts w:ascii="Helvetica" w:hAnsi="Helvetica"/>
          <w:vertAlign w:val="superscript"/>
        </w:rPr>
        <w:t>th</w:t>
      </w:r>
      <w:r w:rsidRPr="00022D39">
        <w:rPr>
          <w:rFonts w:ascii="Helvetica" w:hAnsi="Helvetica"/>
        </w:rPr>
        <w:t xml:space="preserve"> century were oppressed for many reasons and historians</w:t>
      </w:r>
      <w:r w:rsidR="005C6651" w:rsidRPr="00022D39">
        <w:rPr>
          <w:rFonts w:ascii="Helvetica" w:hAnsi="Helvetica"/>
        </w:rPr>
        <w:t xml:space="preserve"> are</w:t>
      </w:r>
      <w:r w:rsidRPr="00022D39">
        <w:rPr>
          <w:rFonts w:ascii="Helvetica" w:hAnsi="Helvetica"/>
        </w:rPr>
        <w:t xml:space="preserve"> just beginning to understand the cause and effects. It seems that </w:t>
      </w:r>
      <w:r w:rsidR="00A868E6" w:rsidRPr="00022D39">
        <w:rPr>
          <w:rFonts w:ascii="Helvetica" w:hAnsi="Helvetica"/>
        </w:rPr>
        <w:t>every time</w:t>
      </w:r>
      <w:r w:rsidRPr="00022D39">
        <w:rPr>
          <w:rFonts w:ascii="Helvetica" w:hAnsi="Helvetica"/>
        </w:rPr>
        <w:t xml:space="preserve"> women began to gain a bit of independence; it proved to simultaneously be a step in the opposite direction. A perfect example was the Tort of Seduction in Canada during the 19</w:t>
      </w:r>
      <w:r w:rsidRPr="00022D39">
        <w:rPr>
          <w:rFonts w:ascii="Helvetica" w:hAnsi="Helvetica"/>
          <w:vertAlign w:val="superscript"/>
        </w:rPr>
        <w:t>th</w:t>
      </w:r>
      <w:r w:rsidRPr="00022D39">
        <w:rPr>
          <w:rFonts w:ascii="Helvetica" w:hAnsi="Helvetica"/>
        </w:rPr>
        <w:t xml:space="preserve"> century. A law originally meant to compensate masters of harm done to their property</w:t>
      </w:r>
      <w:r w:rsidR="00A868E6" w:rsidRPr="00022D39">
        <w:rPr>
          <w:rFonts w:ascii="Helvetica" w:hAnsi="Helvetica"/>
        </w:rPr>
        <w:t>, or servant</w:t>
      </w:r>
      <w:r w:rsidR="00AB5222" w:rsidRPr="00022D39">
        <w:rPr>
          <w:rFonts w:ascii="Helvetica" w:hAnsi="Helvetica"/>
        </w:rPr>
        <w:t>s</w:t>
      </w:r>
      <w:r w:rsidRPr="00022D39">
        <w:rPr>
          <w:rFonts w:ascii="Helvetica" w:hAnsi="Helvetica"/>
        </w:rPr>
        <w:t>, w</w:t>
      </w:r>
      <w:r w:rsidR="00A868E6" w:rsidRPr="00022D39">
        <w:rPr>
          <w:rFonts w:ascii="Helvetica" w:hAnsi="Helvetica"/>
        </w:rPr>
        <w:t>as altered to compensate fathers for</w:t>
      </w:r>
      <w:r w:rsidRPr="00022D39">
        <w:rPr>
          <w:rFonts w:ascii="Helvetica" w:hAnsi="Helvetica"/>
        </w:rPr>
        <w:t xml:space="preserve"> the </w:t>
      </w:r>
      <w:r w:rsidR="00AB5222" w:rsidRPr="00022D39">
        <w:rPr>
          <w:rFonts w:ascii="Helvetica" w:hAnsi="Helvetica"/>
        </w:rPr>
        <w:t xml:space="preserve">wrongful </w:t>
      </w:r>
      <w:r w:rsidR="005C6651" w:rsidRPr="00022D39">
        <w:rPr>
          <w:rFonts w:ascii="Helvetica" w:hAnsi="Helvetica"/>
        </w:rPr>
        <w:t>seduction</w:t>
      </w:r>
      <w:r w:rsidRPr="00022D39">
        <w:rPr>
          <w:rFonts w:ascii="Helvetica" w:hAnsi="Helvetica"/>
        </w:rPr>
        <w:t xml:space="preserve"> of their daughters. Being a patriarchal society, </w:t>
      </w:r>
      <w:r w:rsidR="00A868E6" w:rsidRPr="00022D39">
        <w:rPr>
          <w:rFonts w:ascii="Helvetica" w:hAnsi="Helvetica"/>
        </w:rPr>
        <w:t>plaintiff</w:t>
      </w:r>
      <w:r w:rsidRPr="00022D39">
        <w:rPr>
          <w:rFonts w:ascii="Helvetica" w:hAnsi="Helvetica"/>
        </w:rPr>
        <w:t xml:space="preserve"> </w:t>
      </w:r>
      <w:r w:rsidR="00A868E6" w:rsidRPr="00022D39">
        <w:rPr>
          <w:rFonts w:ascii="Helvetica" w:hAnsi="Helvetica"/>
        </w:rPr>
        <w:t>father’s</w:t>
      </w:r>
      <w:r w:rsidRPr="00022D39">
        <w:rPr>
          <w:rFonts w:ascii="Helvetica" w:hAnsi="Helvetica"/>
        </w:rPr>
        <w:t xml:space="preserve"> ensued justice for </w:t>
      </w:r>
      <w:r w:rsidR="00A868E6" w:rsidRPr="00022D39">
        <w:rPr>
          <w:rFonts w:ascii="Helvetica" w:hAnsi="Helvetica"/>
        </w:rPr>
        <w:t>the dishonour of their daughters along with the loss of service and costs of their daughter’s pregnancy. The law soon evolved from ensuing justice of illicit pregnancy to receiving compensation of legitimate marriages that the family did not approve of.  This legislative initiative could be thought as a positive step toward females being able to receive justice from fraudulent men, as 90 percent of all trial cases were awarded to the daughter and f</w:t>
      </w:r>
      <w:r w:rsidR="00AB5222" w:rsidRPr="00022D39">
        <w:rPr>
          <w:rFonts w:ascii="Helvetica" w:hAnsi="Helvetica"/>
        </w:rPr>
        <w:t>athers of the besmirched family. When</w:t>
      </w:r>
      <w:r w:rsidR="00A868E6" w:rsidRPr="00022D39">
        <w:rPr>
          <w:rFonts w:ascii="Helvetica" w:hAnsi="Helvetica"/>
        </w:rPr>
        <w:t xml:space="preserve"> in fact was not about the daughter at all. The jury</w:t>
      </w:r>
      <w:r w:rsidR="00AB5222" w:rsidRPr="00022D39">
        <w:rPr>
          <w:rFonts w:ascii="Helvetica" w:hAnsi="Helvetica"/>
        </w:rPr>
        <w:t>,</w:t>
      </w:r>
      <w:r w:rsidR="00A868E6" w:rsidRPr="00022D39">
        <w:rPr>
          <w:rFonts w:ascii="Helvetica" w:hAnsi="Helvetica"/>
        </w:rPr>
        <w:t xml:space="preserve"> comprised of only men, often sided with the plaintiff because they sympathized with the father over the young seducer. </w:t>
      </w:r>
      <w:r w:rsidR="00033579" w:rsidRPr="00022D39">
        <w:rPr>
          <w:rFonts w:ascii="Helvetica" w:hAnsi="Helvetica"/>
        </w:rPr>
        <w:t xml:space="preserve">This is evident because of opposite outcomes when regarding rape trials, in which the jury would </w:t>
      </w:r>
      <w:r w:rsidR="005C6651" w:rsidRPr="00022D39">
        <w:rPr>
          <w:rFonts w:ascii="Helvetica" w:hAnsi="Helvetica"/>
        </w:rPr>
        <w:t>side with the accused criminal rather than the female victim.</w:t>
      </w:r>
      <w:r w:rsidR="005C6651" w:rsidRPr="00022D39">
        <w:rPr>
          <w:rStyle w:val="FootnoteReference"/>
          <w:rFonts w:ascii="Helvetica" w:hAnsi="Helvetica"/>
        </w:rPr>
        <w:footnoteReference w:id="1"/>
      </w:r>
      <w:r w:rsidR="005C6651" w:rsidRPr="00022D39">
        <w:rPr>
          <w:rFonts w:ascii="Helvetica" w:hAnsi="Helvetica"/>
        </w:rPr>
        <w:t xml:space="preserve"> </w:t>
      </w:r>
      <w:r w:rsidR="00B75A4C" w:rsidRPr="00022D39">
        <w:rPr>
          <w:rFonts w:ascii="Helvetica" w:hAnsi="Helvetica"/>
        </w:rPr>
        <w:t xml:space="preserve">The evidence collected from my research aims to provide an enlightened interpretation of the tort alongside the oppression of women rights, and how this allowed the tort to evolve through the mid 1800s. </w:t>
      </w:r>
    </w:p>
    <w:p w14:paraId="261897B1" w14:textId="1FD57F02" w:rsidR="00500EC4" w:rsidRPr="00022D39" w:rsidRDefault="00500EC4" w:rsidP="00450ADF">
      <w:pPr>
        <w:spacing w:line="480" w:lineRule="auto"/>
        <w:ind w:firstLine="720"/>
        <w:rPr>
          <w:rFonts w:ascii="Helvetica" w:hAnsi="Helvetica" w:cs="Arial"/>
        </w:rPr>
      </w:pPr>
      <w:r w:rsidRPr="00022D39">
        <w:rPr>
          <w:rFonts w:ascii="Helvetica" w:hAnsi="Helvetica" w:cs="Arial"/>
        </w:rPr>
        <w:t>It was not uncommon for an unmarried woman to wind up pregnant in the 19</w:t>
      </w:r>
      <w:r w:rsidRPr="00022D39">
        <w:rPr>
          <w:rFonts w:ascii="Helvetica" w:hAnsi="Helvetica" w:cs="Arial"/>
          <w:vertAlign w:val="superscript"/>
        </w:rPr>
        <w:t>th</w:t>
      </w:r>
      <w:r w:rsidRPr="00022D39">
        <w:rPr>
          <w:rFonts w:ascii="Helvetica" w:hAnsi="Helvetica" w:cs="Arial"/>
        </w:rPr>
        <w:t xml:space="preserve"> Century. However when it happened, there was a certain social upheaval that surrounded the gossip. The following passage gives insight to what kind of social pressures a family would have went through surrounding the illicit pregnancy of someone in their family.</w:t>
      </w:r>
    </w:p>
    <w:p w14:paraId="094472F2" w14:textId="2035AF01" w:rsidR="00500EC4" w:rsidRPr="00022D39" w:rsidRDefault="00500EC4" w:rsidP="00500EC4">
      <w:pPr>
        <w:spacing w:line="480" w:lineRule="auto"/>
        <w:ind w:left="720"/>
        <w:rPr>
          <w:rFonts w:ascii="Helvetica" w:hAnsi="Helvetica" w:cs="Arial"/>
        </w:rPr>
      </w:pPr>
      <w:r w:rsidRPr="00022D39">
        <w:rPr>
          <w:rFonts w:ascii="Helvetica" w:hAnsi="Helvetica" w:cs="Arial"/>
        </w:rPr>
        <w:t>“Stern fathers called upon young men’s parents; male relatives chased down fleeing scoundrels; women proudly turned their heads aside to avoid the piercing gazes of their neighbours and had their babies out of wedl</w:t>
      </w:r>
      <w:r w:rsidR="00022D39" w:rsidRPr="00022D39">
        <w:rPr>
          <w:rFonts w:ascii="Helvetica" w:hAnsi="Helvetica" w:cs="Arial"/>
        </w:rPr>
        <w:t>o</w:t>
      </w:r>
      <w:r w:rsidRPr="00022D39">
        <w:rPr>
          <w:rFonts w:ascii="Helvetica" w:hAnsi="Helvetica" w:cs="Arial"/>
        </w:rPr>
        <w:t xml:space="preserve">ck; young women were dispatched to distant relatives to overcome mysterious ‘illnesses”’ hasty marriages were conducted under promise of land or money; and women </w:t>
      </w:r>
      <w:r w:rsidR="00C46839" w:rsidRPr="00022D39">
        <w:rPr>
          <w:rFonts w:ascii="Helvetica" w:hAnsi="Helvetica" w:cs="Arial"/>
        </w:rPr>
        <w:t>travelled secretly to cities whe</w:t>
      </w:r>
      <w:r w:rsidRPr="00022D39">
        <w:rPr>
          <w:rFonts w:ascii="Helvetica" w:hAnsi="Helvetica" w:cs="Arial"/>
        </w:rPr>
        <w:t>re they attempted to escape their plight.”</w:t>
      </w:r>
      <w:r w:rsidRPr="00022D39">
        <w:rPr>
          <w:rStyle w:val="FootnoteReference"/>
          <w:rFonts w:ascii="Helvetica" w:hAnsi="Helvetica" w:cs="Arial"/>
        </w:rPr>
        <w:footnoteReference w:id="2"/>
      </w:r>
    </w:p>
    <w:p w14:paraId="37AF56F1" w14:textId="798A8467" w:rsidR="00F61688" w:rsidRPr="00022D39" w:rsidRDefault="00C46839" w:rsidP="00500EC4">
      <w:pPr>
        <w:spacing w:line="480" w:lineRule="auto"/>
        <w:ind w:firstLine="720"/>
        <w:rPr>
          <w:rFonts w:ascii="Helvetica" w:hAnsi="Helvetica"/>
        </w:rPr>
      </w:pPr>
      <w:r w:rsidRPr="00022D39">
        <w:rPr>
          <w:rFonts w:ascii="Helvetica" w:hAnsi="Helvetica" w:cs="Arial"/>
        </w:rPr>
        <w:t xml:space="preserve">The legal system was a last effort to receive any ounce of justice that the family could not attain on their own. </w:t>
      </w:r>
      <w:r w:rsidR="007936D5" w:rsidRPr="00022D39">
        <w:rPr>
          <w:rFonts w:ascii="Helvetica" w:hAnsi="Helvetica" w:cs="Arial"/>
        </w:rPr>
        <w:t>“The tort of seduction, one of the most popular civil actions in nineteenth-century Canada, was rooted in feudal notions that suggested that certain individuals could hold property interests in others.”</w:t>
      </w:r>
      <w:r w:rsidR="007936D5" w:rsidRPr="00022D39">
        <w:rPr>
          <w:rStyle w:val="FootnoteReference"/>
          <w:rFonts w:ascii="Helvetica" w:hAnsi="Helvetica" w:cs="Arial"/>
        </w:rPr>
        <w:footnoteReference w:id="3"/>
      </w:r>
      <w:r w:rsidR="007936D5" w:rsidRPr="00022D39">
        <w:rPr>
          <w:rFonts w:ascii="Helvetica" w:hAnsi="Helvetica" w:cs="Arial"/>
        </w:rPr>
        <w:t xml:space="preserve"> </w:t>
      </w:r>
      <w:r w:rsidR="00450ADF" w:rsidRPr="00022D39">
        <w:rPr>
          <w:rFonts w:ascii="Helvetica" w:hAnsi="Helvetica"/>
        </w:rPr>
        <w:t xml:space="preserve">The basis is that the tort allowed individuals to hold property interests in others and the master-servant trend grew until the law only concerned daughters and fathers. The tort proved to be highly successful towards fathers who had direct monetary value in their daughter’s chastity. This ideal </w:t>
      </w:r>
      <w:r w:rsidR="00500EC4" w:rsidRPr="00022D39">
        <w:rPr>
          <w:rFonts w:ascii="Helvetica" w:hAnsi="Helvetica"/>
        </w:rPr>
        <w:t xml:space="preserve">of lost services </w:t>
      </w:r>
      <w:r w:rsidR="00450ADF" w:rsidRPr="00022D39">
        <w:rPr>
          <w:rFonts w:ascii="Helvetica" w:hAnsi="Helvetica"/>
        </w:rPr>
        <w:t xml:space="preserve">became more prominent in court and the tort of seduction began to embody a legal extension of property rights in women, not women’s rights. </w:t>
      </w:r>
      <w:r w:rsidR="00422D7C" w:rsidRPr="00022D39">
        <w:rPr>
          <w:rFonts w:ascii="Helvetica" w:hAnsi="Helvetica"/>
        </w:rPr>
        <w:t xml:space="preserve">Davis wrote that the plaintiff was required to prove that the defendant “debauched and carnally knew” the plaintiff’s servant, and that she became pregnant and gave birth to a child, “by means of which the plaintiff was deprived of her services and put to expense in nursing and taking care of her.” </w:t>
      </w:r>
      <w:r w:rsidR="00422D7C" w:rsidRPr="00022D39">
        <w:rPr>
          <w:rStyle w:val="FootnoteReference"/>
          <w:rFonts w:ascii="Helvetica" w:hAnsi="Helvetica"/>
        </w:rPr>
        <w:footnoteReference w:id="4"/>
      </w:r>
      <w:r w:rsidR="00422D7C" w:rsidRPr="00022D39">
        <w:rPr>
          <w:rFonts w:ascii="Helvetica" w:hAnsi="Helvetica"/>
        </w:rPr>
        <w:t xml:space="preserve"> The plaintiff did not necessarily have to be a father, since a master would equally be as entitled to sue over loss of service had their servant been seduced. There was no legal stipulation around the nature or circumstances surrounding the intercourse, except that there had to be proof of illicit intercourse, therefore it had to occur outside of wedlock. </w:t>
      </w:r>
      <w:r w:rsidR="002A0E86" w:rsidRPr="00022D39">
        <w:rPr>
          <w:rFonts w:ascii="Helvetica" w:hAnsi="Helvetica"/>
        </w:rPr>
        <w:t xml:space="preserve">Moreover, the seducer has then stolen the chastity of the plaintiff’s daughter, which lessens her value </w:t>
      </w:r>
      <w:r w:rsidR="00A60334" w:rsidRPr="00022D39">
        <w:rPr>
          <w:rFonts w:ascii="Helvetica" w:hAnsi="Helvetica"/>
        </w:rPr>
        <w:t>socially</w:t>
      </w:r>
      <w:r w:rsidR="002A0E86" w:rsidRPr="00022D39">
        <w:rPr>
          <w:rFonts w:ascii="Helvetica" w:hAnsi="Helvetica"/>
        </w:rPr>
        <w:t xml:space="preserve">. It would be extremely hard for her to find a good husband to help support the family. </w:t>
      </w:r>
      <w:r w:rsidR="00477E94" w:rsidRPr="00022D39">
        <w:rPr>
          <w:rFonts w:ascii="Helvetica" w:hAnsi="Helvetica"/>
        </w:rPr>
        <w:t xml:space="preserve">This proved that a father’s societal and economic value rested heavily on how his daughter’s virtue was regarded. It was perceived as an essential aspect of family life. </w:t>
      </w:r>
      <w:r w:rsidR="002A0E86" w:rsidRPr="00022D39">
        <w:rPr>
          <w:rFonts w:ascii="Helvetica" w:hAnsi="Helvetica"/>
        </w:rPr>
        <w:t>The court recognized this and began to award additional damages for the wounded feelings of the parent and moral injury inflicted by the defendant.</w:t>
      </w:r>
      <w:r w:rsidR="002A0E86" w:rsidRPr="00022D39">
        <w:rPr>
          <w:rStyle w:val="FootnoteReference"/>
          <w:rFonts w:ascii="Helvetica" w:hAnsi="Helvetica"/>
        </w:rPr>
        <w:footnoteReference w:id="5"/>
      </w:r>
      <w:r w:rsidR="002A0E86" w:rsidRPr="00022D39">
        <w:rPr>
          <w:rFonts w:ascii="Helvetica" w:hAnsi="Helvetica"/>
        </w:rPr>
        <w:t xml:space="preserve">  The tort of seduction was </w:t>
      </w:r>
      <w:r w:rsidR="00450ADF" w:rsidRPr="00022D39">
        <w:rPr>
          <w:rFonts w:ascii="Helvetica" w:hAnsi="Helvetica"/>
        </w:rPr>
        <w:t xml:space="preserve">not </w:t>
      </w:r>
      <w:r w:rsidR="002A0E86" w:rsidRPr="00022D39">
        <w:rPr>
          <w:rFonts w:ascii="Helvetica" w:hAnsi="Helvetica"/>
        </w:rPr>
        <w:t>the beginning of women</w:t>
      </w:r>
      <w:r w:rsidR="00256BCA" w:rsidRPr="00022D39">
        <w:rPr>
          <w:rFonts w:ascii="Helvetica" w:hAnsi="Helvetica"/>
        </w:rPr>
        <w:t xml:space="preserve">’s rights </w:t>
      </w:r>
      <w:r w:rsidR="00450ADF" w:rsidRPr="00022D39">
        <w:rPr>
          <w:rFonts w:ascii="Helvetica" w:hAnsi="Helvetica"/>
        </w:rPr>
        <w:t>but</w:t>
      </w:r>
      <w:r w:rsidR="00256BCA" w:rsidRPr="00022D39">
        <w:rPr>
          <w:rFonts w:ascii="Helvetica" w:hAnsi="Helvetica"/>
        </w:rPr>
        <w:t xml:space="preserve"> did offer some protection for families who may have been lost otherwise. </w:t>
      </w:r>
      <w:r w:rsidR="002A0E86" w:rsidRPr="00022D39">
        <w:rPr>
          <w:rFonts w:ascii="Helvetica" w:hAnsi="Helvetica"/>
        </w:rPr>
        <w:t>“If any person shall unlawfully take or cause to be taken any unmarried girl, being under the age of sixteen years, out of the possession, and against the will of her father or mother…shall be guilty of a misdemeanour”.</w:t>
      </w:r>
      <w:r w:rsidR="002A0E86" w:rsidRPr="00022D39">
        <w:rPr>
          <w:rStyle w:val="FootnoteReference"/>
          <w:rFonts w:ascii="Helvetica" w:hAnsi="Helvetica"/>
        </w:rPr>
        <w:footnoteReference w:id="6"/>
      </w:r>
      <w:r w:rsidR="002A0E86" w:rsidRPr="00022D39">
        <w:rPr>
          <w:rFonts w:ascii="Helvetica" w:hAnsi="Helvetica"/>
        </w:rPr>
        <w:t xml:space="preserve"> </w:t>
      </w:r>
      <w:r w:rsidR="00256BCA" w:rsidRPr="00022D39">
        <w:rPr>
          <w:rFonts w:ascii="Helvetica" w:hAnsi="Helvetica"/>
        </w:rPr>
        <w:t xml:space="preserve"> </w:t>
      </w:r>
      <w:r w:rsidR="00450ADF" w:rsidRPr="00022D39">
        <w:rPr>
          <w:rFonts w:ascii="Helvetica" w:hAnsi="Helvetica"/>
        </w:rPr>
        <w:t>If</w:t>
      </w:r>
      <w:r w:rsidR="00256BCA" w:rsidRPr="00022D39">
        <w:rPr>
          <w:rFonts w:ascii="Helvetica" w:hAnsi="Helvetica"/>
        </w:rPr>
        <w:t xml:space="preserve"> it was on the girls terms to leave her house in order to find a better life with a man her parents did not approve of, he would be tried in court and she would be returned to her family home. “The consent of the girl makes no difference” </w:t>
      </w:r>
      <w:r w:rsidR="00450ADF" w:rsidRPr="00022D39">
        <w:rPr>
          <w:rFonts w:ascii="Helvetica" w:hAnsi="Helvetica"/>
        </w:rPr>
        <w:t>because</w:t>
      </w:r>
      <w:r w:rsidR="00256BCA" w:rsidRPr="00022D39">
        <w:rPr>
          <w:rFonts w:ascii="Helvetica" w:hAnsi="Helvetica"/>
        </w:rPr>
        <w:t xml:space="preserve"> the law was originally developed to protect the property of masters.</w:t>
      </w:r>
      <w:r w:rsidR="00A60334" w:rsidRPr="00022D39">
        <w:rPr>
          <w:rStyle w:val="FootnoteReference"/>
          <w:rFonts w:ascii="Helvetica" w:hAnsi="Helvetica"/>
        </w:rPr>
        <w:footnoteReference w:id="7"/>
      </w:r>
      <w:r w:rsidR="00256BCA" w:rsidRPr="00022D39">
        <w:rPr>
          <w:rFonts w:ascii="Helvetica" w:hAnsi="Helvetica"/>
        </w:rPr>
        <w:t xml:space="preserve"> It is under these very sexist </w:t>
      </w:r>
      <w:r w:rsidR="008960D9" w:rsidRPr="00022D39">
        <w:rPr>
          <w:rFonts w:ascii="Helvetica" w:hAnsi="Helvetica"/>
        </w:rPr>
        <w:t>pretences</w:t>
      </w:r>
      <w:r w:rsidR="00256BCA" w:rsidRPr="00022D39">
        <w:rPr>
          <w:rFonts w:ascii="Helvetica" w:hAnsi="Helvetica"/>
        </w:rPr>
        <w:t xml:space="preserve"> that</w:t>
      </w:r>
      <w:r w:rsidR="008960D9" w:rsidRPr="00022D39">
        <w:rPr>
          <w:rFonts w:ascii="Helvetica" w:hAnsi="Helvetica"/>
        </w:rPr>
        <w:t xml:space="preserve"> the tort</w:t>
      </w:r>
      <w:r w:rsidR="00450ADF" w:rsidRPr="00022D39">
        <w:rPr>
          <w:rFonts w:ascii="Helvetica" w:hAnsi="Helvetica"/>
        </w:rPr>
        <w:t xml:space="preserve"> harms women independence and keeps them from moving out of the family unit to find their own careers and lives. </w:t>
      </w:r>
      <w:r w:rsidR="00A01AED" w:rsidRPr="00022D39">
        <w:rPr>
          <w:rFonts w:ascii="Helvetica" w:hAnsi="Helvetica"/>
        </w:rPr>
        <w:t>Therefore the tort allowed parents and men of the court to muffle the emerging independent voices of women in a modernizing world.</w:t>
      </w:r>
    </w:p>
    <w:p w14:paraId="2E92F256" w14:textId="38BCB8B1" w:rsidR="004F0A10" w:rsidRPr="00022D39" w:rsidRDefault="004F0A10" w:rsidP="00450ADF">
      <w:pPr>
        <w:spacing w:line="480" w:lineRule="auto"/>
        <w:ind w:firstLine="720"/>
        <w:rPr>
          <w:rFonts w:ascii="Helvetica" w:hAnsi="Helvetica" w:cs="Arial"/>
        </w:rPr>
      </w:pPr>
      <w:r w:rsidRPr="00022D39">
        <w:rPr>
          <w:rFonts w:ascii="Helvetica" w:hAnsi="Helvetica"/>
        </w:rPr>
        <w:t>Although successful</w:t>
      </w:r>
      <w:r w:rsidR="00F3299F" w:rsidRPr="00022D39">
        <w:rPr>
          <w:rFonts w:ascii="Helvetica" w:hAnsi="Helvetica"/>
        </w:rPr>
        <w:t xml:space="preserve"> for hundreds of fathers looking to </w:t>
      </w:r>
      <w:r w:rsidR="00477E94" w:rsidRPr="00022D39">
        <w:rPr>
          <w:rFonts w:ascii="Helvetica" w:hAnsi="Helvetica"/>
        </w:rPr>
        <w:t>protect the interests of their family unit</w:t>
      </w:r>
      <w:r w:rsidRPr="00022D39">
        <w:rPr>
          <w:rFonts w:ascii="Helvetica" w:hAnsi="Helvetica"/>
        </w:rPr>
        <w:t xml:space="preserve">, there was still plenty of opposition concerning the </w:t>
      </w:r>
      <w:r w:rsidR="00533476" w:rsidRPr="00022D39">
        <w:rPr>
          <w:rFonts w:ascii="Helvetica" w:hAnsi="Helvetica"/>
        </w:rPr>
        <w:t>tort,</w:t>
      </w:r>
      <w:r w:rsidRPr="00022D39">
        <w:rPr>
          <w:rFonts w:ascii="Helvetica" w:hAnsi="Helvetica"/>
        </w:rPr>
        <w:t xml:space="preserve"> as it could be see</w:t>
      </w:r>
      <w:r w:rsidR="00F3299F" w:rsidRPr="00022D39">
        <w:rPr>
          <w:rFonts w:ascii="Helvetica" w:hAnsi="Helvetica"/>
        </w:rPr>
        <w:t>n</w:t>
      </w:r>
      <w:r w:rsidRPr="00022D39">
        <w:rPr>
          <w:rFonts w:ascii="Helvetica" w:hAnsi="Helvetica"/>
        </w:rPr>
        <w:t xml:space="preserve"> as a way</w:t>
      </w:r>
      <w:r w:rsidR="00533476" w:rsidRPr="00022D39">
        <w:rPr>
          <w:rFonts w:ascii="Helvetica" w:hAnsi="Helvetica"/>
        </w:rPr>
        <w:t xml:space="preserve"> to justify intercourse outside the confines as marriage. </w:t>
      </w:r>
      <w:r w:rsidR="00F479BF" w:rsidRPr="00022D39">
        <w:rPr>
          <w:rFonts w:ascii="Helvetica" w:hAnsi="Helvetica"/>
        </w:rPr>
        <w:t>The law evolved to control the course of young women’s lives and attempted to deliberately “assert parental property interests in the face of a family u</w:t>
      </w:r>
      <w:bookmarkStart w:id="0" w:name="_GoBack"/>
      <w:bookmarkEnd w:id="0"/>
      <w:r w:rsidR="00F479BF" w:rsidRPr="00022D39">
        <w:rPr>
          <w:rFonts w:ascii="Helvetica" w:hAnsi="Helvetica"/>
        </w:rPr>
        <w:t xml:space="preserve">nit.” </w:t>
      </w:r>
      <w:r w:rsidR="005343E4" w:rsidRPr="00022D39">
        <w:rPr>
          <w:rStyle w:val="FootnoteReference"/>
          <w:rFonts w:ascii="Helvetica" w:hAnsi="Helvetica"/>
        </w:rPr>
        <w:footnoteReference w:id="8"/>
      </w:r>
      <w:r w:rsidR="00D417A3" w:rsidRPr="00022D39">
        <w:rPr>
          <w:rFonts w:ascii="Helvetica" w:hAnsi="Helvetica"/>
        </w:rPr>
        <w:t xml:space="preserve"> The law also moved from a</w:t>
      </w:r>
      <w:r w:rsidR="00AC79D8" w:rsidRPr="00022D39">
        <w:rPr>
          <w:rFonts w:ascii="Helvetica" w:hAnsi="Helvetica"/>
        </w:rPr>
        <w:t>n</w:t>
      </w:r>
      <w:r w:rsidR="00D417A3" w:rsidRPr="00022D39">
        <w:rPr>
          <w:rFonts w:ascii="Helvetica" w:hAnsi="Helvetica"/>
        </w:rPr>
        <w:t xml:space="preserve"> </w:t>
      </w:r>
      <w:r w:rsidR="00AC79D8" w:rsidRPr="00022D39">
        <w:rPr>
          <w:rFonts w:ascii="Helvetica" w:hAnsi="Helvetica"/>
        </w:rPr>
        <w:t xml:space="preserve">initial compensation to a place where fathers further wanted to ensue for emotional damages and distress surrounding the loss of </w:t>
      </w:r>
      <w:r w:rsidR="0061266B" w:rsidRPr="00022D39">
        <w:rPr>
          <w:rFonts w:ascii="Helvetica" w:hAnsi="Helvetica"/>
        </w:rPr>
        <w:t>the daughter’s chastity. Plaintiffs</w:t>
      </w:r>
      <w:r w:rsidR="00AC79D8" w:rsidRPr="00022D39">
        <w:rPr>
          <w:rFonts w:ascii="Helvetica" w:hAnsi="Helvetica"/>
        </w:rPr>
        <w:t xml:space="preserve"> also didn’t require </w:t>
      </w:r>
      <w:r w:rsidR="0061266B" w:rsidRPr="00022D39">
        <w:rPr>
          <w:rFonts w:ascii="Helvetica" w:hAnsi="Helvetica"/>
        </w:rPr>
        <w:t>providing</w:t>
      </w:r>
      <w:r w:rsidR="00AC79D8" w:rsidRPr="00022D39">
        <w:rPr>
          <w:rFonts w:ascii="Helvetica" w:hAnsi="Helvetica"/>
        </w:rPr>
        <w:t xml:space="preserve"> any proof of ‘acts of service performed by the person seduced.’</w:t>
      </w:r>
      <w:r w:rsidR="00AC79D8" w:rsidRPr="00022D39">
        <w:rPr>
          <w:rStyle w:val="FootnoteReference"/>
          <w:rFonts w:ascii="Helvetica" w:hAnsi="Helvetica"/>
        </w:rPr>
        <w:footnoteReference w:id="9"/>
      </w:r>
      <w:r w:rsidR="00697FE2" w:rsidRPr="00022D39">
        <w:rPr>
          <w:rFonts w:ascii="Helvetica" w:hAnsi="Helvetica"/>
        </w:rPr>
        <w:t xml:space="preserve"> This could be attributed to women being allowed to leave the household to work and provide for the family rather than doing it from </w:t>
      </w:r>
      <w:r w:rsidR="00022D39">
        <w:rPr>
          <w:rFonts w:ascii="Helvetica" w:hAnsi="Helvetica"/>
        </w:rPr>
        <w:t xml:space="preserve">chores </w:t>
      </w:r>
      <w:r w:rsidR="00697FE2" w:rsidRPr="00022D39">
        <w:rPr>
          <w:rFonts w:ascii="Helvetica" w:hAnsi="Helvetica"/>
        </w:rPr>
        <w:t>within the families household.</w:t>
      </w:r>
      <w:r w:rsidR="00022D39">
        <w:rPr>
          <w:rFonts w:ascii="Helvetica" w:hAnsi="Helvetica"/>
        </w:rPr>
        <w:t xml:space="preserve"> The work available to these young ladies would have commonly been as servants</w:t>
      </w:r>
      <w:r w:rsidR="004E15A8" w:rsidRPr="00022D39">
        <w:rPr>
          <w:rFonts w:ascii="Helvetica" w:hAnsi="Helvetica"/>
        </w:rPr>
        <w:t xml:space="preserve">. </w:t>
      </w:r>
      <w:r w:rsidR="00697FE2" w:rsidRPr="00022D39">
        <w:rPr>
          <w:rFonts w:ascii="Helvetica" w:hAnsi="Helvetica"/>
        </w:rPr>
        <w:t>“The size of the award may also have been related to the jury’s assessment of [a woman’s] physical attractiveness and feminine demeanour.</w:t>
      </w:r>
      <w:r w:rsidR="00697FE2" w:rsidRPr="00022D39">
        <w:rPr>
          <w:rStyle w:val="FootnoteReference"/>
          <w:rFonts w:ascii="Helvetica" w:hAnsi="Helvetica"/>
        </w:rPr>
        <w:footnoteReference w:id="10"/>
      </w:r>
    </w:p>
    <w:p w14:paraId="4748C9CF" w14:textId="44F05E5B" w:rsidR="00A73BD5" w:rsidRPr="00022D39" w:rsidRDefault="005343E4" w:rsidP="00500EC4">
      <w:pPr>
        <w:spacing w:line="480" w:lineRule="auto"/>
        <w:ind w:firstLine="720"/>
        <w:rPr>
          <w:rFonts w:ascii="Helvetica" w:hAnsi="Helvetica"/>
        </w:rPr>
      </w:pPr>
      <w:r w:rsidRPr="00022D39">
        <w:rPr>
          <w:rFonts w:ascii="Helvetica" w:hAnsi="Helvetica"/>
        </w:rPr>
        <w:t>W</w:t>
      </w:r>
      <w:r w:rsidR="00F61688" w:rsidRPr="00022D39">
        <w:rPr>
          <w:rFonts w:ascii="Helvetica" w:hAnsi="Helvetica"/>
        </w:rPr>
        <w:t xml:space="preserve">e must remember that although the world was </w:t>
      </w:r>
      <w:r w:rsidRPr="00022D39">
        <w:rPr>
          <w:rFonts w:ascii="Helvetica" w:hAnsi="Helvetica"/>
        </w:rPr>
        <w:t>in the very early stages of modernization</w:t>
      </w:r>
      <w:r w:rsidR="00F61688" w:rsidRPr="00022D39">
        <w:rPr>
          <w:rFonts w:ascii="Helvetica" w:hAnsi="Helvetica"/>
        </w:rPr>
        <w:t xml:space="preserve">, it was very much so a society revolved around men. The public didn’t generally care about the welfare of women during cases. </w:t>
      </w:r>
      <w:r w:rsidR="008D7FD7" w:rsidRPr="00022D39">
        <w:rPr>
          <w:rFonts w:ascii="Helvetica" w:hAnsi="Helvetica"/>
        </w:rPr>
        <w:t>“If it were the situation of the woman that had motivated the jury, they would have been as supportive of rape victims as they were of victims of seduction.”</w:t>
      </w:r>
      <w:r w:rsidR="008D7FD7" w:rsidRPr="00022D39">
        <w:rPr>
          <w:rStyle w:val="FootnoteReference"/>
          <w:rFonts w:ascii="Helvetica" w:hAnsi="Helvetica"/>
        </w:rPr>
        <w:footnoteReference w:id="11"/>
      </w:r>
      <w:r w:rsidR="008D7FD7" w:rsidRPr="00022D39">
        <w:rPr>
          <w:rFonts w:ascii="Helvetica" w:hAnsi="Helvetica"/>
        </w:rPr>
        <w:t xml:space="preserve"> </w:t>
      </w:r>
      <w:r w:rsidR="00E36893" w:rsidRPr="00022D39">
        <w:rPr>
          <w:rFonts w:ascii="Helvetica" w:hAnsi="Helvetica"/>
        </w:rPr>
        <w:t xml:space="preserve">The more tainted a woman’s virtue was prior to the trial the less the family was awarded from the court. This proved that the tort of seduction was so successful because it had little to do with evidence and </w:t>
      </w:r>
      <w:r w:rsidR="0032398E" w:rsidRPr="00022D39">
        <w:rPr>
          <w:rFonts w:ascii="Helvetica" w:hAnsi="Helvetica"/>
        </w:rPr>
        <w:t xml:space="preserve">the jury relied solely on the ability to sway the jury to believe that their families name is honourable. </w:t>
      </w:r>
      <w:r w:rsidR="00F61688" w:rsidRPr="00022D39">
        <w:rPr>
          <w:rFonts w:ascii="Helvetica" w:hAnsi="Helvetica"/>
        </w:rPr>
        <w:t xml:space="preserve">The idea of intercourse out of wedlock was still heavily frowned upon, so when it did happen, this was the </w:t>
      </w:r>
      <w:r w:rsidR="00AB5222" w:rsidRPr="00022D39">
        <w:rPr>
          <w:rFonts w:ascii="Helvetica" w:hAnsi="Helvetica"/>
        </w:rPr>
        <w:t>family’s</w:t>
      </w:r>
      <w:r w:rsidR="00F61688" w:rsidRPr="00022D39">
        <w:rPr>
          <w:rFonts w:ascii="Helvetica" w:hAnsi="Helvetica"/>
        </w:rPr>
        <w:t xml:space="preserve"> only way to protect w</w:t>
      </w:r>
      <w:r w:rsidR="00AB5222" w:rsidRPr="00022D39">
        <w:rPr>
          <w:rFonts w:ascii="Helvetica" w:hAnsi="Helvetica"/>
        </w:rPr>
        <w:t>hat they could of their honour.  If a woman was seduced upon fraudulent terms then this offered the family a way to find justice for her. However, it also marked the young woman as property to which her cha</w:t>
      </w:r>
      <w:r w:rsidR="00A16C86" w:rsidRPr="00022D39">
        <w:rPr>
          <w:rFonts w:ascii="Helvetica" w:hAnsi="Helvetica"/>
        </w:rPr>
        <w:t>stity is her value.</w:t>
      </w:r>
      <w:r w:rsidR="004E15A8" w:rsidRPr="00022D39">
        <w:rPr>
          <w:rFonts w:ascii="Helvetica" w:hAnsi="Helvetica"/>
        </w:rPr>
        <w:t xml:space="preserve"> “The most powerful rules governing intimacy were social and ethical, not legal.”</w:t>
      </w:r>
      <w:r w:rsidR="004E15A8" w:rsidRPr="00022D39">
        <w:rPr>
          <w:rStyle w:val="FootnoteReference"/>
          <w:rFonts w:ascii="Helvetica" w:hAnsi="Helvetica"/>
        </w:rPr>
        <w:footnoteReference w:id="12"/>
      </w:r>
    </w:p>
    <w:p w14:paraId="49DF0124" w14:textId="77777777" w:rsidR="00513328" w:rsidRPr="00022D39" w:rsidRDefault="00513328" w:rsidP="004D0573">
      <w:pPr>
        <w:rPr>
          <w:rFonts w:ascii="Helvetica" w:hAnsi="Helvetica"/>
        </w:rPr>
      </w:pPr>
    </w:p>
    <w:p w14:paraId="36AD49C9" w14:textId="77777777" w:rsidR="004F0A10" w:rsidRPr="00022D39" w:rsidRDefault="004F0A10" w:rsidP="00513328">
      <w:pPr>
        <w:jc w:val="center"/>
        <w:rPr>
          <w:rFonts w:ascii="Helvetica" w:hAnsi="Helvetica"/>
        </w:rPr>
      </w:pPr>
    </w:p>
    <w:p w14:paraId="30F47E02" w14:textId="77777777" w:rsidR="004F0A10" w:rsidRPr="00022D39" w:rsidRDefault="004F0A10" w:rsidP="00513328">
      <w:pPr>
        <w:jc w:val="center"/>
        <w:rPr>
          <w:rFonts w:ascii="Helvetica" w:hAnsi="Helvetica"/>
        </w:rPr>
      </w:pPr>
    </w:p>
    <w:p w14:paraId="0F14E210" w14:textId="77777777" w:rsidR="00022D39" w:rsidRDefault="00022D39" w:rsidP="00022D39">
      <w:pPr>
        <w:jc w:val="center"/>
        <w:rPr>
          <w:rFonts w:ascii="Helvetica" w:hAnsi="Helvetica"/>
        </w:rPr>
      </w:pPr>
    </w:p>
    <w:p w14:paraId="2F3147AC" w14:textId="77777777" w:rsidR="00022D39" w:rsidRDefault="00022D39" w:rsidP="00022D39">
      <w:pPr>
        <w:jc w:val="center"/>
        <w:rPr>
          <w:rFonts w:ascii="Helvetica" w:hAnsi="Helvetica"/>
        </w:rPr>
      </w:pPr>
    </w:p>
    <w:p w14:paraId="10974C62" w14:textId="77777777" w:rsidR="00022D39" w:rsidRDefault="00022D39" w:rsidP="00022D39">
      <w:pPr>
        <w:jc w:val="center"/>
        <w:rPr>
          <w:rFonts w:ascii="Helvetica" w:hAnsi="Helvetica"/>
        </w:rPr>
      </w:pPr>
    </w:p>
    <w:p w14:paraId="1759F63D" w14:textId="77777777" w:rsidR="00022D39" w:rsidRDefault="00022D39" w:rsidP="00022D39">
      <w:pPr>
        <w:jc w:val="center"/>
        <w:rPr>
          <w:rFonts w:ascii="Helvetica" w:hAnsi="Helvetica"/>
        </w:rPr>
      </w:pPr>
    </w:p>
    <w:p w14:paraId="71484332" w14:textId="77777777" w:rsidR="00022D39" w:rsidRDefault="00022D39" w:rsidP="00022D39">
      <w:pPr>
        <w:jc w:val="center"/>
        <w:rPr>
          <w:rFonts w:ascii="Helvetica" w:hAnsi="Helvetica"/>
        </w:rPr>
      </w:pPr>
    </w:p>
    <w:p w14:paraId="31B362B8" w14:textId="36117E35" w:rsidR="00513328" w:rsidRPr="00022D39" w:rsidRDefault="00513328" w:rsidP="00022D39">
      <w:pPr>
        <w:jc w:val="center"/>
        <w:rPr>
          <w:rFonts w:ascii="Helvetica" w:hAnsi="Helvetica"/>
        </w:rPr>
      </w:pPr>
      <w:r w:rsidRPr="00022D39">
        <w:rPr>
          <w:rFonts w:ascii="Helvetica" w:hAnsi="Helvetica"/>
        </w:rPr>
        <w:t>Bibliography</w:t>
      </w:r>
    </w:p>
    <w:p w14:paraId="0BD4C8BE" w14:textId="77777777" w:rsidR="00513328" w:rsidRPr="00022D39" w:rsidRDefault="00513328" w:rsidP="004D0573">
      <w:pPr>
        <w:rPr>
          <w:rFonts w:ascii="Helvetica" w:hAnsi="Helvetica"/>
        </w:rPr>
      </w:pPr>
    </w:p>
    <w:p w14:paraId="5031E76D" w14:textId="77777777" w:rsidR="00513328" w:rsidRPr="00022D39" w:rsidRDefault="00513328" w:rsidP="00513328">
      <w:pPr>
        <w:ind w:left="720" w:hanging="720"/>
        <w:rPr>
          <w:rFonts w:ascii="Helvetica" w:hAnsi="Helvetica" w:cs="Arial"/>
          <w:color w:val="1A1A1A"/>
          <w:lang w:val="en-US"/>
        </w:rPr>
      </w:pPr>
    </w:p>
    <w:p w14:paraId="28C58124" w14:textId="5822F585" w:rsidR="00513328" w:rsidRPr="00022D39" w:rsidRDefault="00513328" w:rsidP="00513328">
      <w:pPr>
        <w:ind w:left="720" w:hanging="720"/>
        <w:rPr>
          <w:rFonts w:ascii="Helvetica" w:hAnsi="Helvetica" w:cs="Arial"/>
          <w:color w:val="1A1A1A"/>
          <w:lang w:val="en-US"/>
        </w:rPr>
      </w:pPr>
      <w:r w:rsidRPr="00022D39">
        <w:rPr>
          <w:rFonts w:ascii="Helvetica" w:hAnsi="Helvetica" w:cs="Arial"/>
          <w:color w:val="1A1A1A"/>
          <w:lang w:val="en-US"/>
        </w:rPr>
        <w:t xml:space="preserve">Backhouse, Constance B. "The tort of seduction: Fathers and daughters in nineteenth-century Canada." </w:t>
      </w:r>
      <w:r w:rsidRPr="00022D39">
        <w:rPr>
          <w:rFonts w:ascii="Helvetica" w:hAnsi="Helvetica" w:cs="Arial"/>
          <w:i/>
          <w:iCs/>
          <w:color w:val="1A1A1A"/>
          <w:lang w:val="en-US"/>
        </w:rPr>
        <w:t>Dalhousie Law Journal</w:t>
      </w:r>
      <w:r w:rsidRPr="00022D39">
        <w:rPr>
          <w:rFonts w:ascii="Helvetica" w:hAnsi="Helvetica" w:cs="Arial"/>
          <w:color w:val="1A1A1A"/>
          <w:lang w:val="en-US"/>
        </w:rPr>
        <w:t xml:space="preserve"> 10 (1986): 45-80.</w:t>
      </w:r>
    </w:p>
    <w:p w14:paraId="5A029447" w14:textId="77777777" w:rsidR="00022D39" w:rsidRPr="00022D39" w:rsidRDefault="00022D39" w:rsidP="00513328">
      <w:pPr>
        <w:ind w:left="720" w:hanging="720"/>
        <w:rPr>
          <w:rFonts w:ascii="Helvetica" w:hAnsi="Helvetica" w:cs="Arial"/>
          <w:color w:val="1A1A1A"/>
          <w:lang w:val="en-US"/>
        </w:rPr>
      </w:pPr>
    </w:p>
    <w:p w14:paraId="1A01BA78" w14:textId="77777777" w:rsidR="00022D39" w:rsidRPr="00022D39" w:rsidRDefault="00022D39" w:rsidP="00022D39">
      <w:pPr>
        <w:ind w:left="720" w:hanging="720"/>
        <w:rPr>
          <w:rFonts w:ascii="Helvetica" w:hAnsi="Helvetica" w:cs="Arial"/>
          <w:lang w:val="en-US"/>
        </w:rPr>
      </w:pPr>
      <w:r w:rsidRPr="00022D39">
        <w:rPr>
          <w:rFonts w:ascii="Helvetica" w:hAnsi="Helvetica" w:cs="Helvetica Neue Light"/>
          <w:color w:val="262626"/>
          <w:lang w:val="en-US"/>
        </w:rPr>
        <w:t xml:space="preserve">Backhouse, Constance. </w:t>
      </w:r>
      <w:r w:rsidRPr="00022D39">
        <w:rPr>
          <w:rFonts w:ascii="Helvetica" w:hAnsi="Helvetica" w:cs="Helvetica Neue Light"/>
          <w:i/>
          <w:iCs/>
          <w:color w:val="262626"/>
          <w:lang w:val="en-US"/>
        </w:rPr>
        <w:t>Petticoats and Prejudice: Women and Law in Nineteenth-century Canada</w:t>
      </w:r>
      <w:r w:rsidRPr="00022D39">
        <w:rPr>
          <w:rFonts w:ascii="Helvetica" w:hAnsi="Helvetica" w:cs="Helvetica Neue Light"/>
          <w:color w:val="262626"/>
          <w:lang w:val="en-US"/>
        </w:rPr>
        <w:t xml:space="preserve">. Toronto, Ont., Canada: Published for the </w:t>
      </w:r>
      <w:proofErr w:type="spellStart"/>
      <w:r w:rsidRPr="00022D39">
        <w:rPr>
          <w:rFonts w:ascii="Helvetica" w:hAnsi="Helvetica" w:cs="Helvetica Neue Light"/>
          <w:color w:val="262626"/>
          <w:lang w:val="en-US"/>
        </w:rPr>
        <w:t>Osgoode</w:t>
      </w:r>
      <w:proofErr w:type="spellEnd"/>
      <w:r w:rsidRPr="00022D39">
        <w:rPr>
          <w:rFonts w:ascii="Helvetica" w:hAnsi="Helvetica" w:cs="Helvetica Neue Light"/>
          <w:color w:val="262626"/>
          <w:lang w:val="en-US"/>
        </w:rPr>
        <w:t xml:space="preserve"> Society by Women's Press, 1991.</w:t>
      </w:r>
      <w:r w:rsidRPr="00022D39">
        <w:rPr>
          <w:rFonts w:ascii="Helvetica" w:hAnsi="Helvetica" w:cs="Arial"/>
          <w:lang w:val="en-US"/>
        </w:rPr>
        <w:t xml:space="preserve"> </w:t>
      </w:r>
    </w:p>
    <w:p w14:paraId="7EF27222" w14:textId="77777777" w:rsidR="00022D39" w:rsidRPr="00022D39" w:rsidRDefault="00022D39" w:rsidP="00022D39">
      <w:pPr>
        <w:ind w:left="720" w:hanging="720"/>
        <w:rPr>
          <w:rFonts w:ascii="Helvetica" w:hAnsi="Helvetica" w:cs="Arial"/>
          <w:lang w:val="en-US"/>
        </w:rPr>
      </w:pPr>
    </w:p>
    <w:p w14:paraId="538B8B13" w14:textId="4F5B5C58" w:rsidR="00022D39" w:rsidRPr="00022D39" w:rsidRDefault="00022D39" w:rsidP="00022D39">
      <w:pPr>
        <w:ind w:left="720" w:hanging="720"/>
        <w:rPr>
          <w:rFonts w:ascii="Helvetica" w:hAnsi="Helvetica" w:cs="Arial"/>
          <w:lang w:val="en-US"/>
        </w:rPr>
      </w:pPr>
      <w:r w:rsidRPr="00022D39">
        <w:rPr>
          <w:rFonts w:ascii="Helvetica" w:hAnsi="Helvetica" w:cs="Arial"/>
          <w:lang w:val="en-US"/>
        </w:rPr>
        <w:t xml:space="preserve">Davis, James Edward. </w:t>
      </w:r>
      <w:proofErr w:type="gramStart"/>
      <w:r w:rsidRPr="00022D39">
        <w:rPr>
          <w:rFonts w:ascii="Helvetica" w:hAnsi="Helvetica" w:cs="Arial"/>
          <w:i/>
          <w:iCs/>
          <w:lang w:val="en-US"/>
        </w:rPr>
        <w:t>Prize essay on the laws for the protection of women.</w:t>
      </w:r>
      <w:proofErr w:type="gramEnd"/>
      <w:r w:rsidRPr="00022D39">
        <w:rPr>
          <w:rFonts w:ascii="Helvetica" w:hAnsi="Helvetica" w:cs="Arial"/>
          <w:lang w:val="en-US"/>
        </w:rPr>
        <w:t xml:space="preserve"> </w:t>
      </w:r>
      <w:proofErr w:type="gramStart"/>
      <w:r w:rsidRPr="00022D39">
        <w:rPr>
          <w:rFonts w:ascii="Helvetica" w:hAnsi="Helvetica" w:cs="Arial"/>
          <w:lang w:val="en-US"/>
        </w:rPr>
        <w:t>London, 1854.</w:t>
      </w:r>
      <w:proofErr w:type="gramEnd"/>
      <w:r w:rsidRPr="00022D39">
        <w:rPr>
          <w:rFonts w:ascii="Helvetica" w:hAnsi="Helvetica" w:cs="Arial"/>
          <w:lang w:val="en-US"/>
        </w:rPr>
        <w:t xml:space="preserve"> </w:t>
      </w:r>
      <w:proofErr w:type="gramStart"/>
      <w:r w:rsidRPr="00022D39">
        <w:rPr>
          <w:rFonts w:ascii="Helvetica" w:hAnsi="Helvetica" w:cs="Arial"/>
          <w:i/>
          <w:iCs/>
          <w:lang w:val="en-US"/>
        </w:rPr>
        <w:t>The Making of Modern Law</w:t>
      </w:r>
      <w:r w:rsidRPr="00022D39">
        <w:rPr>
          <w:rFonts w:ascii="Helvetica" w:hAnsi="Helvetica" w:cs="Arial"/>
          <w:lang w:val="en-US"/>
        </w:rPr>
        <w:t>.</w:t>
      </w:r>
      <w:proofErr w:type="gramEnd"/>
      <w:r w:rsidRPr="00022D39">
        <w:rPr>
          <w:rFonts w:ascii="Helvetica" w:hAnsi="Helvetica" w:cs="Arial"/>
          <w:lang w:val="en-US"/>
        </w:rPr>
        <w:t xml:space="preserve"> Gale. 2016. Gale, </w:t>
      </w:r>
      <w:proofErr w:type="spellStart"/>
      <w:r w:rsidRPr="00022D39">
        <w:rPr>
          <w:rFonts w:ascii="Helvetica" w:hAnsi="Helvetica" w:cs="Arial"/>
          <w:lang w:val="en-US"/>
        </w:rPr>
        <w:t>Cengage</w:t>
      </w:r>
      <w:proofErr w:type="spellEnd"/>
      <w:r w:rsidRPr="00022D39">
        <w:rPr>
          <w:rFonts w:ascii="Helvetica" w:hAnsi="Helvetica" w:cs="Arial"/>
          <w:lang w:val="en-US"/>
        </w:rPr>
        <w:t xml:space="preserve"> Learning. 21 November 2016 &lt;http://galenet.galegroup.com.ezproxy.tru.ca/servlet/MOML</w:t>
      </w:r>
      <w:proofErr w:type="gramStart"/>
      <w:r w:rsidRPr="00022D39">
        <w:rPr>
          <w:rFonts w:ascii="Helvetica" w:hAnsi="Helvetica" w:cs="Arial"/>
          <w:lang w:val="en-US"/>
        </w:rPr>
        <w:t>?af</w:t>
      </w:r>
      <w:proofErr w:type="gramEnd"/>
      <w:r w:rsidRPr="00022D39">
        <w:rPr>
          <w:rFonts w:ascii="Helvetica" w:hAnsi="Helvetica" w:cs="Arial"/>
          <w:lang w:val="en-US"/>
        </w:rPr>
        <w:t>=RN&amp;ae=F3701383559&amp;srchtp=a&amp;ste=14&gt;</w:t>
      </w:r>
    </w:p>
    <w:p w14:paraId="2FFF43CE" w14:textId="6ED911C5" w:rsidR="00022D39" w:rsidRPr="00022D39" w:rsidRDefault="00022D39" w:rsidP="00513328">
      <w:pPr>
        <w:ind w:left="720" w:hanging="720"/>
        <w:rPr>
          <w:rFonts w:ascii="Helvetica" w:hAnsi="Helvetica"/>
        </w:rPr>
      </w:pPr>
    </w:p>
    <w:p w14:paraId="68F7C693" w14:textId="0489F682" w:rsidR="00022D39" w:rsidRPr="00022D39" w:rsidRDefault="00022D39" w:rsidP="00513328">
      <w:pPr>
        <w:ind w:left="720" w:hanging="720"/>
        <w:rPr>
          <w:rFonts w:ascii="Helvetica" w:hAnsi="Helvetica"/>
        </w:rPr>
      </w:pPr>
      <w:proofErr w:type="gramStart"/>
      <w:r w:rsidRPr="00022D39">
        <w:rPr>
          <w:rFonts w:ascii="Helvetica" w:hAnsi="Helvetica" w:cs="Helvetica"/>
          <w:color w:val="262626"/>
          <w:lang w:val="en-US"/>
        </w:rPr>
        <w:t>Strange, Carolyn.</w:t>
      </w:r>
      <w:proofErr w:type="gramEnd"/>
      <w:r w:rsidRPr="00022D39">
        <w:rPr>
          <w:rFonts w:ascii="Helvetica" w:hAnsi="Helvetica" w:cs="Helvetica"/>
          <w:color w:val="262626"/>
          <w:lang w:val="en-US"/>
        </w:rPr>
        <w:t xml:space="preserve"> "Courtship, Love and Marriage in Nineteenth-Century English Canada (Book)." </w:t>
      </w:r>
      <w:r w:rsidRPr="00022D39">
        <w:rPr>
          <w:rFonts w:ascii="Helvetica" w:hAnsi="Helvetica" w:cs="Helvetica"/>
          <w:i/>
          <w:iCs/>
          <w:color w:val="262626"/>
          <w:lang w:val="en-US"/>
        </w:rPr>
        <w:t>Canadian Journal Of Women &amp; The Law</w:t>
      </w:r>
      <w:r w:rsidRPr="00022D39">
        <w:rPr>
          <w:rFonts w:ascii="Helvetica" w:hAnsi="Helvetica" w:cs="Helvetica"/>
          <w:color w:val="262626"/>
          <w:lang w:val="en-US"/>
        </w:rPr>
        <w:t xml:space="preserve"> 7, no. 1 (June 1994): 208-212. </w:t>
      </w:r>
      <w:r w:rsidRPr="00022D39">
        <w:rPr>
          <w:rFonts w:ascii="Helvetica" w:hAnsi="Helvetica" w:cs="Helvetica"/>
          <w:i/>
          <w:iCs/>
          <w:color w:val="262626"/>
          <w:lang w:val="en-US"/>
        </w:rPr>
        <w:t>Academic Search Complete</w:t>
      </w:r>
      <w:r w:rsidRPr="00022D39">
        <w:rPr>
          <w:rFonts w:ascii="Helvetica" w:hAnsi="Helvetica" w:cs="Helvetica"/>
          <w:color w:val="262626"/>
          <w:lang w:val="en-US"/>
        </w:rPr>
        <w:t xml:space="preserve">, </w:t>
      </w:r>
      <w:proofErr w:type="spellStart"/>
      <w:r w:rsidRPr="00022D39">
        <w:rPr>
          <w:rFonts w:ascii="Helvetica" w:hAnsi="Helvetica" w:cs="Helvetica"/>
          <w:color w:val="262626"/>
          <w:lang w:val="en-US"/>
        </w:rPr>
        <w:t>EBSCO</w:t>
      </w:r>
      <w:r w:rsidRPr="00022D39">
        <w:rPr>
          <w:rFonts w:ascii="Helvetica" w:hAnsi="Helvetica" w:cs="Helvetica"/>
          <w:i/>
          <w:iCs/>
          <w:color w:val="262626"/>
          <w:lang w:val="en-US"/>
        </w:rPr>
        <w:t>host</w:t>
      </w:r>
      <w:proofErr w:type="spellEnd"/>
      <w:r w:rsidRPr="00022D39">
        <w:rPr>
          <w:rFonts w:ascii="Helvetica" w:hAnsi="Helvetica" w:cs="Helvetica"/>
          <w:color w:val="262626"/>
          <w:lang w:val="en-US"/>
        </w:rPr>
        <w:t xml:space="preserve"> (accessed November 25, 2016).</w:t>
      </w:r>
    </w:p>
    <w:sectPr w:rsidR="00022D39" w:rsidRPr="00022D39" w:rsidSect="00B86FDA">
      <w:headerReference w:type="even" r:id="rId7"/>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8C7ED" w14:textId="77777777" w:rsidR="00C46839" w:rsidRDefault="00C46839" w:rsidP="00723FC1">
      <w:r>
        <w:separator/>
      </w:r>
    </w:p>
  </w:endnote>
  <w:endnote w:type="continuationSeparator" w:id="0">
    <w:p w14:paraId="1C844C58" w14:textId="77777777" w:rsidR="00C46839" w:rsidRDefault="00C46839" w:rsidP="0072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05353" w14:textId="77777777" w:rsidR="00C46839" w:rsidRDefault="00C46839" w:rsidP="00723FC1">
      <w:r>
        <w:separator/>
      </w:r>
    </w:p>
  </w:footnote>
  <w:footnote w:type="continuationSeparator" w:id="0">
    <w:p w14:paraId="2B7C621C" w14:textId="77777777" w:rsidR="00C46839" w:rsidRDefault="00C46839" w:rsidP="00723FC1">
      <w:r>
        <w:continuationSeparator/>
      </w:r>
    </w:p>
  </w:footnote>
  <w:footnote w:id="1">
    <w:p w14:paraId="36835C53" w14:textId="101C35F2" w:rsidR="00C46839" w:rsidRPr="00022D39" w:rsidRDefault="00C46839" w:rsidP="00A16C86">
      <w:pPr>
        <w:pStyle w:val="FootnoteText"/>
        <w:rPr>
          <w:rFonts w:ascii="Helvetica" w:hAnsi="Helvetica"/>
          <w:lang w:val="en-US"/>
        </w:rPr>
      </w:pPr>
      <w:r w:rsidRPr="00022D39">
        <w:rPr>
          <w:rStyle w:val="FootnoteReference"/>
          <w:rFonts w:ascii="Helvetica" w:hAnsi="Helvetica"/>
        </w:rPr>
        <w:footnoteRef/>
      </w:r>
      <w:r w:rsidRPr="00022D39">
        <w:rPr>
          <w:rFonts w:ascii="Helvetica" w:hAnsi="Helvetica"/>
        </w:rPr>
        <w:t xml:space="preserve"> </w:t>
      </w:r>
      <w:r w:rsidRPr="00022D39">
        <w:rPr>
          <w:rFonts w:ascii="Helvetica" w:hAnsi="Helvetica" w:cs="Arial"/>
          <w:color w:val="1A1A1A"/>
          <w:lang w:val="en-US"/>
        </w:rPr>
        <w:t xml:space="preserve">Backhouse, Constance B. "The tort of seduction: Fathers and daughters in nineteenth-century Canada." </w:t>
      </w:r>
      <w:r w:rsidRPr="00022D39">
        <w:rPr>
          <w:rFonts w:ascii="Helvetica" w:hAnsi="Helvetica" w:cs="Arial"/>
          <w:i/>
          <w:iCs/>
          <w:color w:val="1A1A1A"/>
          <w:lang w:val="en-US"/>
        </w:rPr>
        <w:t>Dalhousie Law Journal</w:t>
      </w:r>
      <w:r w:rsidRPr="00022D39">
        <w:rPr>
          <w:rFonts w:ascii="Helvetica" w:hAnsi="Helvetica" w:cs="Arial"/>
          <w:color w:val="1A1A1A"/>
          <w:lang w:val="en-US"/>
        </w:rPr>
        <w:t xml:space="preserve"> 10 (1986): 45-80. This paper further enriches the information by Davis in order to show how the tort was practiced and what biases were in place. </w:t>
      </w:r>
    </w:p>
  </w:footnote>
  <w:footnote w:id="2">
    <w:p w14:paraId="0174E532" w14:textId="316BC943" w:rsidR="00C46839" w:rsidRPr="00022D39" w:rsidRDefault="00C46839">
      <w:pPr>
        <w:pStyle w:val="FootnoteText"/>
        <w:rPr>
          <w:rFonts w:ascii="Helvetica" w:hAnsi="Helvetica"/>
          <w:lang w:val="en-US"/>
        </w:rPr>
      </w:pPr>
      <w:r w:rsidRPr="00022D39">
        <w:rPr>
          <w:rStyle w:val="FootnoteReference"/>
          <w:rFonts w:ascii="Helvetica" w:hAnsi="Helvetica"/>
        </w:rPr>
        <w:footnoteRef/>
      </w:r>
      <w:r w:rsidRPr="00022D39">
        <w:rPr>
          <w:rFonts w:ascii="Helvetica" w:hAnsi="Helvetica"/>
        </w:rPr>
        <w:t xml:space="preserve"> </w:t>
      </w:r>
      <w:r w:rsidR="00022D39" w:rsidRPr="00022D39">
        <w:rPr>
          <w:rFonts w:ascii="Helvetica" w:hAnsi="Helvetica"/>
          <w:lang w:val="en-US"/>
        </w:rPr>
        <w:t>Carolyn Strange</w:t>
      </w:r>
      <w:r w:rsidRPr="00022D39">
        <w:rPr>
          <w:rFonts w:ascii="Helvetica" w:hAnsi="Helvetica"/>
          <w:lang w:val="en-US"/>
        </w:rPr>
        <w:t xml:space="preserve">. </w:t>
      </w:r>
      <w:proofErr w:type="spellStart"/>
      <w:r w:rsidRPr="00022D39">
        <w:rPr>
          <w:rFonts w:ascii="Helvetica" w:hAnsi="Helvetica"/>
          <w:lang w:val="en-US"/>
        </w:rPr>
        <w:t>Courship</w:t>
      </w:r>
      <w:proofErr w:type="spellEnd"/>
      <w:r w:rsidRPr="00022D39">
        <w:rPr>
          <w:rFonts w:ascii="Helvetica" w:hAnsi="Helvetica"/>
          <w:lang w:val="en-US"/>
        </w:rPr>
        <w:t xml:space="preserve">, Love and Marriage in Nineteenth Century English Canada, p. 211. </w:t>
      </w:r>
    </w:p>
  </w:footnote>
  <w:footnote w:id="3">
    <w:p w14:paraId="47E774AC" w14:textId="315153D3" w:rsidR="00C46839" w:rsidRPr="00022D39" w:rsidRDefault="00C46839">
      <w:pPr>
        <w:pStyle w:val="FootnoteText"/>
        <w:rPr>
          <w:rFonts w:ascii="Helvetica" w:hAnsi="Helvetica"/>
          <w:lang w:val="en-US"/>
        </w:rPr>
      </w:pPr>
      <w:r w:rsidRPr="00022D39">
        <w:rPr>
          <w:rStyle w:val="FootnoteReference"/>
          <w:rFonts w:ascii="Helvetica" w:hAnsi="Helvetica"/>
        </w:rPr>
        <w:footnoteRef/>
      </w:r>
      <w:r w:rsidRPr="00022D39">
        <w:rPr>
          <w:rFonts w:ascii="Helvetica" w:hAnsi="Helvetica"/>
        </w:rPr>
        <w:t xml:space="preserve"> Constance Backhouse</w:t>
      </w:r>
      <w:proofErr w:type="gramStart"/>
      <w:r w:rsidRPr="00022D39">
        <w:rPr>
          <w:rFonts w:ascii="Helvetica" w:hAnsi="Helvetica"/>
        </w:rPr>
        <w:t>.,</w:t>
      </w:r>
      <w:proofErr w:type="gramEnd"/>
      <w:r w:rsidRPr="00022D39">
        <w:rPr>
          <w:rFonts w:ascii="Helvetica" w:hAnsi="Helvetica"/>
        </w:rPr>
        <w:t xml:space="preserve"> The tort of seduction: Fathers and Daughters in Nineteenth Century Canada, p. 45.</w:t>
      </w:r>
    </w:p>
  </w:footnote>
  <w:footnote w:id="4">
    <w:p w14:paraId="4B08EFD7" w14:textId="520F1C82" w:rsidR="00C46839" w:rsidRPr="00022D39" w:rsidRDefault="00C46839" w:rsidP="00513328">
      <w:pPr>
        <w:ind w:firstLine="720"/>
        <w:rPr>
          <w:rFonts w:ascii="Helvetica" w:hAnsi="Helvetica"/>
        </w:rPr>
      </w:pPr>
      <w:r w:rsidRPr="00022D39">
        <w:rPr>
          <w:rStyle w:val="FootnoteReference"/>
          <w:rFonts w:ascii="Helvetica" w:hAnsi="Helvetica"/>
        </w:rPr>
        <w:footnoteRef/>
      </w:r>
      <w:r w:rsidRPr="00022D39">
        <w:rPr>
          <w:rFonts w:ascii="Helvetica" w:hAnsi="Helvetica"/>
        </w:rPr>
        <w:t xml:space="preserve"> For details regarding essential elements of the tort, see James Edward Davis, </w:t>
      </w:r>
      <w:r w:rsidRPr="00022D39">
        <w:rPr>
          <w:rFonts w:ascii="Helvetica" w:hAnsi="Helvetica"/>
          <w:i/>
        </w:rPr>
        <w:t>“Prize Essay on The Laws for The Protection of Women”</w:t>
      </w:r>
      <w:r w:rsidRPr="00022D39">
        <w:rPr>
          <w:rFonts w:ascii="Helvetica" w:hAnsi="Helvetica"/>
        </w:rPr>
        <w:t xml:space="preserve"> (London 1854). </w:t>
      </w:r>
    </w:p>
    <w:p w14:paraId="0D85719A" w14:textId="354FA20F" w:rsidR="00C46839" w:rsidRPr="00022D39" w:rsidRDefault="00C46839">
      <w:pPr>
        <w:pStyle w:val="FootnoteText"/>
        <w:rPr>
          <w:rFonts w:ascii="Helvetica" w:hAnsi="Helvetica"/>
          <w:lang w:val="en-US"/>
        </w:rPr>
      </w:pPr>
      <w:r w:rsidRPr="00022D39">
        <w:rPr>
          <w:rFonts w:ascii="Helvetica" w:hAnsi="Helvetica"/>
        </w:rPr>
        <w:t xml:space="preserve"> </w:t>
      </w:r>
      <w:proofErr w:type="gramStart"/>
      <w:r w:rsidRPr="00022D39">
        <w:rPr>
          <w:rFonts w:ascii="Helvetica" w:hAnsi="Helvetica"/>
          <w:lang w:val="en-US"/>
        </w:rPr>
        <w:t>at</w:t>
      </w:r>
      <w:proofErr w:type="gramEnd"/>
      <w:r w:rsidRPr="00022D39">
        <w:rPr>
          <w:rFonts w:ascii="Helvetica" w:hAnsi="Helvetica"/>
          <w:lang w:val="en-US"/>
        </w:rPr>
        <w:t xml:space="preserve"> 140. </w:t>
      </w:r>
    </w:p>
  </w:footnote>
  <w:footnote w:id="5">
    <w:p w14:paraId="741BB473" w14:textId="0F52C2B1" w:rsidR="00C46839" w:rsidRPr="00022D39" w:rsidRDefault="00C46839" w:rsidP="00513328">
      <w:pPr>
        <w:pStyle w:val="FootnoteText"/>
        <w:ind w:firstLine="720"/>
        <w:rPr>
          <w:rFonts w:ascii="Helvetica" w:hAnsi="Helvetica"/>
          <w:lang w:val="en-US"/>
        </w:rPr>
      </w:pPr>
      <w:r w:rsidRPr="00022D39">
        <w:rPr>
          <w:rStyle w:val="FootnoteReference"/>
          <w:rFonts w:ascii="Helvetica" w:hAnsi="Helvetica"/>
        </w:rPr>
        <w:footnoteRef/>
      </w:r>
      <w:r w:rsidRPr="00022D39">
        <w:rPr>
          <w:rFonts w:ascii="Helvetica" w:hAnsi="Helvetica"/>
        </w:rPr>
        <w:t xml:space="preserve"> Constance Backhouse</w:t>
      </w:r>
      <w:proofErr w:type="gramStart"/>
      <w:r w:rsidRPr="00022D39">
        <w:rPr>
          <w:rFonts w:ascii="Helvetica" w:hAnsi="Helvetica"/>
        </w:rPr>
        <w:t>.,</w:t>
      </w:r>
      <w:proofErr w:type="gramEnd"/>
      <w:r w:rsidRPr="00022D39">
        <w:rPr>
          <w:rFonts w:ascii="Helvetica" w:hAnsi="Helvetica"/>
        </w:rPr>
        <w:t xml:space="preserve"> Petticoats and Prejudice: Women and Law in Nineteenth Century Canada, p. </w:t>
      </w:r>
      <w:r w:rsidRPr="00022D39">
        <w:rPr>
          <w:rFonts w:ascii="Helvetica" w:hAnsi="Helvetica"/>
          <w:lang w:val="en-US"/>
        </w:rPr>
        <w:t>133.</w:t>
      </w:r>
    </w:p>
  </w:footnote>
  <w:footnote w:id="6">
    <w:p w14:paraId="4BECF50A" w14:textId="4CA2133C" w:rsidR="00C46839" w:rsidRPr="00022D39" w:rsidRDefault="00C46839" w:rsidP="005343E4">
      <w:pPr>
        <w:pStyle w:val="FootnoteText"/>
        <w:ind w:firstLine="720"/>
        <w:rPr>
          <w:rFonts w:ascii="Helvetica" w:hAnsi="Helvetica"/>
          <w:lang w:val="en-US"/>
        </w:rPr>
      </w:pPr>
      <w:r w:rsidRPr="00022D39">
        <w:rPr>
          <w:rStyle w:val="FootnoteReference"/>
          <w:rFonts w:ascii="Helvetica" w:hAnsi="Helvetica"/>
        </w:rPr>
        <w:footnoteRef/>
      </w:r>
      <w:r w:rsidRPr="00022D39">
        <w:rPr>
          <w:rFonts w:ascii="Helvetica" w:hAnsi="Helvetica"/>
        </w:rPr>
        <w:t xml:space="preserve"> Ibid</w:t>
      </w:r>
      <w:proofErr w:type="gramStart"/>
      <w:r w:rsidRPr="00022D39">
        <w:rPr>
          <w:rFonts w:ascii="Helvetica" w:hAnsi="Helvetica"/>
        </w:rPr>
        <w:t>.,</w:t>
      </w:r>
      <w:proofErr w:type="gramEnd"/>
      <w:r w:rsidRPr="00022D39">
        <w:rPr>
          <w:rFonts w:ascii="Helvetica" w:hAnsi="Helvetica"/>
        </w:rPr>
        <w:t xml:space="preserve"> </w:t>
      </w:r>
      <w:r w:rsidRPr="00022D39">
        <w:rPr>
          <w:rFonts w:ascii="Helvetica" w:hAnsi="Helvetica"/>
          <w:lang w:val="en-US"/>
        </w:rPr>
        <w:t>122.</w:t>
      </w:r>
    </w:p>
  </w:footnote>
  <w:footnote w:id="7">
    <w:p w14:paraId="187AB867" w14:textId="32A1E9BB" w:rsidR="00C46839" w:rsidRPr="00022D39" w:rsidRDefault="00C46839" w:rsidP="00022D39">
      <w:pPr>
        <w:pStyle w:val="FootnoteText"/>
        <w:ind w:firstLine="720"/>
        <w:rPr>
          <w:rFonts w:ascii="Helvetica" w:hAnsi="Helvetica"/>
          <w:lang w:val="en-US"/>
        </w:rPr>
      </w:pPr>
      <w:r w:rsidRPr="00022D39">
        <w:rPr>
          <w:rStyle w:val="FootnoteReference"/>
          <w:rFonts w:ascii="Helvetica" w:hAnsi="Helvetica"/>
        </w:rPr>
        <w:footnoteRef/>
      </w:r>
      <w:r w:rsidRPr="00022D39">
        <w:rPr>
          <w:rFonts w:ascii="Helvetica" w:hAnsi="Helvetica"/>
        </w:rPr>
        <w:t xml:space="preserve"> Ibid</w:t>
      </w:r>
      <w:proofErr w:type="gramStart"/>
      <w:r w:rsidRPr="00022D39">
        <w:rPr>
          <w:rFonts w:ascii="Helvetica" w:hAnsi="Helvetica"/>
        </w:rPr>
        <w:t>.,</w:t>
      </w:r>
      <w:proofErr w:type="gramEnd"/>
      <w:r w:rsidRPr="00022D39">
        <w:rPr>
          <w:rFonts w:ascii="Helvetica" w:hAnsi="Helvetica"/>
        </w:rPr>
        <w:t xml:space="preserve"> </w:t>
      </w:r>
      <w:r w:rsidRPr="00022D39">
        <w:rPr>
          <w:rFonts w:ascii="Helvetica" w:hAnsi="Helvetica"/>
          <w:lang w:val="en-US"/>
        </w:rPr>
        <w:t>127.</w:t>
      </w:r>
    </w:p>
  </w:footnote>
  <w:footnote w:id="8">
    <w:p w14:paraId="33F6BC0D" w14:textId="12F370A9" w:rsidR="00C46839" w:rsidRPr="00022D39" w:rsidRDefault="00C46839" w:rsidP="005343E4">
      <w:pPr>
        <w:pStyle w:val="FootnoteText"/>
        <w:ind w:firstLine="720"/>
        <w:rPr>
          <w:rFonts w:ascii="Helvetica" w:hAnsi="Helvetica"/>
          <w:lang w:val="en-US"/>
        </w:rPr>
      </w:pPr>
      <w:r w:rsidRPr="00022D39">
        <w:rPr>
          <w:rStyle w:val="FootnoteReference"/>
          <w:rFonts w:ascii="Helvetica" w:hAnsi="Helvetica"/>
        </w:rPr>
        <w:footnoteRef/>
      </w:r>
      <w:r w:rsidRPr="00022D39">
        <w:rPr>
          <w:rFonts w:ascii="Helvetica" w:hAnsi="Helvetica"/>
        </w:rPr>
        <w:t xml:space="preserve"> Constance Backhouse</w:t>
      </w:r>
      <w:proofErr w:type="gramStart"/>
      <w:r w:rsidRPr="00022D39">
        <w:rPr>
          <w:rFonts w:ascii="Helvetica" w:hAnsi="Helvetica"/>
        </w:rPr>
        <w:t>.,</w:t>
      </w:r>
      <w:proofErr w:type="gramEnd"/>
      <w:r w:rsidRPr="00022D39">
        <w:rPr>
          <w:rFonts w:ascii="Helvetica" w:hAnsi="Helvetica"/>
        </w:rPr>
        <w:t xml:space="preserve"> </w:t>
      </w:r>
      <w:r w:rsidRPr="00022D39">
        <w:rPr>
          <w:rFonts w:ascii="Helvetica" w:hAnsi="Helvetica"/>
          <w:lang w:val="en-US"/>
        </w:rPr>
        <w:t xml:space="preserve">The Tort of Seduction: Fathers and Daughters in Nineteenth Century Canada. P </w:t>
      </w:r>
      <w:r w:rsidR="00022D39" w:rsidRPr="00022D39">
        <w:rPr>
          <w:rFonts w:ascii="Helvetica" w:hAnsi="Helvetica"/>
          <w:lang w:val="en-US"/>
        </w:rPr>
        <w:t>48.</w:t>
      </w:r>
    </w:p>
  </w:footnote>
  <w:footnote w:id="9">
    <w:p w14:paraId="79CC739B" w14:textId="6739C7B2" w:rsidR="00C46839" w:rsidRPr="00022D39" w:rsidRDefault="00C46839">
      <w:pPr>
        <w:pStyle w:val="FootnoteText"/>
        <w:rPr>
          <w:rFonts w:ascii="Helvetica" w:hAnsi="Helvetica"/>
          <w:lang w:val="en-US"/>
        </w:rPr>
      </w:pPr>
      <w:r w:rsidRPr="00022D39">
        <w:rPr>
          <w:rStyle w:val="FootnoteReference"/>
          <w:rFonts w:ascii="Helvetica" w:hAnsi="Helvetica"/>
        </w:rPr>
        <w:footnoteRef/>
      </w:r>
      <w:r w:rsidRPr="00022D39">
        <w:rPr>
          <w:rFonts w:ascii="Helvetica" w:hAnsi="Helvetica"/>
        </w:rPr>
        <w:t xml:space="preserve"> </w:t>
      </w:r>
      <w:r w:rsidRPr="00022D39">
        <w:rPr>
          <w:rFonts w:ascii="Helvetica" w:hAnsi="Helvetica"/>
          <w:lang w:val="en-US"/>
        </w:rPr>
        <w:t>Ibid</w:t>
      </w:r>
      <w:proofErr w:type="gramStart"/>
      <w:r w:rsidRPr="00022D39">
        <w:rPr>
          <w:rFonts w:ascii="Helvetica" w:hAnsi="Helvetica"/>
          <w:lang w:val="en-US"/>
        </w:rPr>
        <w:t>.,</w:t>
      </w:r>
      <w:proofErr w:type="gramEnd"/>
      <w:r w:rsidRPr="00022D39">
        <w:rPr>
          <w:rFonts w:ascii="Helvetica" w:hAnsi="Helvetica"/>
          <w:lang w:val="en-US"/>
        </w:rPr>
        <w:t xml:space="preserve"> p 50.</w:t>
      </w:r>
    </w:p>
  </w:footnote>
  <w:footnote w:id="10">
    <w:p w14:paraId="03AD17C7" w14:textId="1E5B7403" w:rsidR="00C46839" w:rsidRPr="00022D39" w:rsidRDefault="00C46839">
      <w:pPr>
        <w:pStyle w:val="FootnoteText"/>
        <w:rPr>
          <w:rFonts w:ascii="Helvetica" w:hAnsi="Helvetica"/>
          <w:lang w:val="en-US"/>
        </w:rPr>
      </w:pPr>
      <w:r w:rsidRPr="00022D39">
        <w:rPr>
          <w:rStyle w:val="FootnoteReference"/>
          <w:rFonts w:ascii="Helvetica" w:hAnsi="Helvetica"/>
        </w:rPr>
        <w:footnoteRef/>
      </w:r>
      <w:r w:rsidRPr="00022D39">
        <w:rPr>
          <w:rFonts w:ascii="Helvetica" w:hAnsi="Helvetica"/>
        </w:rPr>
        <w:t xml:space="preserve"> </w:t>
      </w:r>
      <w:proofErr w:type="gramStart"/>
      <w:r w:rsidRPr="00022D39">
        <w:rPr>
          <w:rFonts w:ascii="Helvetica" w:hAnsi="Helvetica"/>
          <w:lang w:val="en-US"/>
        </w:rPr>
        <w:t>Petticoats and prejudice p. 52.</w:t>
      </w:r>
      <w:proofErr w:type="gramEnd"/>
    </w:p>
  </w:footnote>
  <w:footnote w:id="11">
    <w:p w14:paraId="1E173B64" w14:textId="348368D9" w:rsidR="00C46839" w:rsidRPr="00022D39" w:rsidRDefault="00C46839">
      <w:pPr>
        <w:pStyle w:val="FootnoteText"/>
        <w:rPr>
          <w:rFonts w:ascii="Helvetica" w:hAnsi="Helvetica"/>
          <w:lang w:val="en-US"/>
        </w:rPr>
      </w:pPr>
      <w:r w:rsidRPr="00022D39">
        <w:rPr>
          <w:rStyle w:val="FootnoteReference"/>
          <w:rFonts w:ascii="Helvetica" w:hAnsi="Helvetica"/>
        </w:rPr>
        <w:footnoteRef/>
      </w:r>
      <w:r w:rsidRPr="00022D39">
        <w:rPr>
          <w:rFonts w:ascii="Helvetica" w:hAnsi="Helvetica"/>
        </w:rPr>
        <w:t xml:space="preserve"> </w:t>
      </w:r>
      <w:proofErr w:type="gramStart"/>
      <w:r w:rsidRPr="00022D39">
        <w:rPr>
          <w:rFonts w:ascii="Helvetica" w:hAnsi="Helvetica"/>
          <w:lang w:val="en-US"/>
        </w:rPr>
        <w:t>Petticoats and Prejudice.</w:t>
      </w:r>
      <w:proofErr w:type="gramEnd"/>
      <w:r w:rsidRPr="00022D39">
        <w:rPr>
          <w:rFonts w:ascii="Helvetica" w:hAnsi="Helvetica"/>
          <w:lang w:val="en-US"/>
        </w:rPr>
        <w:t xml:space="preserve"> P 50. </w:t>
      </w:r>
    </w:p>
  </w:footnote>
  <w:footnote w:id="12">
    <w:p w14:paraId="7AC0D80E" w14:textId="4198798C" w:rsidR="00C46839" w:rsidRPr="00022D39" w:rsidRDefault="00C46839">
      <w:pPr>
        <w:pStyle w:val="FootnoteText"/>
        <w:rPr>
          <w:rFonts w:ascii="Helvetica" w:hAnsi="Helvetica"/>
          <w:lang w:val="en-US"/>
        </w:rPr>
      </w:pPr>
      <w:r w:rsidRPr="00022D39">
        <w:rPr>
          <w:rStyle w:val="FootnoteReference"/>
          <w:rFonts w:ascii="Helvetica" w:hAnsi="Helvetica"/>
        </w:rPr>
        <w:footnoteRef/>
      </w:r>
      <w:r w:rsidRPr="00022D39">
        <w:rPr>
          <w:rFonts w:ascii="Helvetica" w:hAnsi="Helvetica"/>
        </w:rPr>
        <w:t xml:space="preserve"> </w:t>
      </w:r>
      <w:r w:rsidRPr="00022D39">
        <w:rPr>
          <w:rFonts w:ascii="Helvetica" w:hAnsi="Helvetica"/>
          <w:lang w:val="en-US"/>
        </w:rPr>
        <w:t>Ward. Courtship, Love and Marriage, p.35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468EA" w14:textId="77777777" w:rsidR="00C46839" w:rsidRDefault="00C46839" w:rsidP="00B86F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20482" w14:textId="77777777" w:rsidR="00C46839" w:rsidRDefault="00C46839" w:rsidP="00B86FDA">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3C7D553" w14:textId="77777777" w:rsidR="00C46839" w:rsidRDefault="00C46839" w:rsidP="00723FC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9CF06" w14:textId="77777777" w:rsidR="00C46839" w:rsidRDefault="00C46839" w:rsidP="00B86F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2D39">
      <w:rPr>
        <w:rStyle w:val="PageNumber"/>
        <w:noProof/>
      </w:rPr>
      <w:t>2</w:t>
    </w:r>
    <w:r>
      <w:rPr>
        <w:rStyle w:val="PageNumber"/>
      </w:rPr>
      <w:fldChar w:fldCharType="end"/>
    </w:r>
  </w:p>
  <w:p w14:paraId="2A8B9B8F" w14:textId="77777777" w:rsidR="00C46839" w:rsidRDefault="00C46839" w:rsidP="00723FC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4D"/>
    <w:rsid w:val="00022D39"/>
    <w:rsid w:val="00031F10"/>
    <w:rsid w:val="00033579"/>
    <w:rsid w:val="00034F9F"/>
    <w:rsid w:val="001259FD"/>
    <w:rsid w:val="001A5F99"/>
    <w:rsid w:val="001B7F7C"/>
    <w:rsid w:val="00256BCA"/>
    <w:rsid w:val="0026544D"/>
    <w:rsid w:val="002A0E86"/>
    <w:rsid w:val="002F36D1"/>
    <w:rsid w:val="0032398E"/>
    <w:rsid w:val="0037386C"/>
    <w:rsid w:val="00422D7C"/>
    <w:rsid w:val="00450ADF"/>
    <w:rsid w:val="00477E94"/>
    <w:rsid w:val="004D0573"/>
    <w:rsid w:val="004E15A8"/>
    <w:rsid w:val="004F0A10"/>
    <w:rsid w:val="00500EC4"/>
    <w:rsid w:val="00513328"/>
    <w:rsid w:val="00533476"/>
    <w:rsid w:val="005343E4"/>
    <w:rsid w:val="00536749"/>
    <w:rsid w:val="0057373C"/>
    <w:rsid w:val="00575C5B"/>
    <w:rsid w:val="005C6651"/>
    <w:rsid w:val="005F33E7"/>
    <w:rsid w:val="0061266B"/>
    <w:rsid w:val="00645FEB"/>
    <w:rsid w:val="0068030E"/>
    <w:rsid w:val="00697FE2"/>
    <w:rsid w:val="006A59A6"/>
    <w:rsid w:val="00723FC1"/>
    <w:rsid w:val="00764C11"/>
    <w:rsid w:val="00792D10"/>
    <w:rsid w:val="007936D5"/>
    <w:rsid w:val="0079428D"/>
    <w:rsid w:val="007A65D1"/>
    <w:rsid w:val="008522AC"/>
    <w:rsid w:val="008960D9"/>
    <w:rsid w:val="008B673A"/>
    <w:rsid w:val="008C607E"/>
    <w:rsid w:val="008D7FD7"/>
    <w:rsid w:val="00945E80"/>
    <w:rsid w:val="00965470"/>
    <w:rsid w:val="0097682A"/>
    <w:rsid w:val="009F4CAE"/>
    <w:rsid w:val="00A01AED"/>
    <w:rsid w:val="00A16C86"/>
    <w:rsid w:val="00A60334"/>
    <w:rsid w:val="00A60B58"/>
    <w:rsid w:val="00A612AD"/>
    <w:rsid w:val="00A73BD5"/>
    <w:rsid w:val="00A868E6"/>
    <w:rsid w:val="00AB5222"/>
    <w:rsid w:val="00AC79D8"/>
    <w:rsid w:val="00AF3369"/>
    <w:rsid w:val="00B2525B"/>
    <w:rsid w:val="00B70807"/>
    <w:rsid w:val="00B75A4C"/>
    <w:rsid w:val="00B86FDA"/>
    <w:rsid w:val="00BE569F"/>
    <w:rsid w:val="00BF0F4B"/>
    <w:rsid w:val="00C46839"/>
    <w:rsid w:val="00D04E6E"/>
    <w:rsid w:val="00D27853"/>
    <w:rsid w:val="00D417A3"/>
    <w:rsid w:val="00DF0D88"/>
    <w:rsid w:val="00E14965"/>
    <w:rsid w:val="00E36893"/>
    <w:rsid w:val="00F30E32"/>
    <w:rsid w:val="00F3299F"/>
    <w:rsid w:val="00F359A9"/>
    <w:rsid w:val="00F479BF"/>
    <w:rsid w:val="00F61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8B1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FC1"/>
    <w:pPr>
      <w:tabs>
        <w:tab w:val="center" w:pos="4320"/>
        <w:tab w:val="right" w:pos="8640"/>
      </w:tabs>
    </w:pPr>
  </w:style>
  <w:style w:type="character" w:customStyle="1" w:styleId="HeaderChar">
    <w:name w:val="Header Char"/>
    <w:basedOn w:val="DefaultParagraphFont"/>
    <w:link w:val="Header"/>
    <w:uiPriority w:val="99"/>
    <w:rsid w:val="00723FC1"/>
    <w:rPr>
      <w:lang w:val="en-CA"/>
    </w:rPr>
  </w:style>
  <w:style w:type="paragraph" w:styleId="Footer">
    <w:name w:val="footer"/>
    <w:basedOn w:val="Normal"/>
    <w:link w:val="FooterChar"/>
    <w:uiPriority w:val="99"/>
    <w:unhideWhenUsed/>
    <w:rsid w:val="00723FC1"/>
    <w:pPr>
      <w:tabs>
        <w:tab w:val="center" w:pos="4320"/>
        <w:tab w:val="right" w:pos="8640"/>
      </w:tabs>
    </w:pPr>
  </w:style>
  <w:style w:type="character" w:customStyle="1" w:styleId="FooterChar">
    <w:name w:val="Footer Char"/>
    <w:basedOn w:val="DefaultParagraphFont"/>
    <w:link w:val="Footer"/>
    <w:uiPriority w:val="99"/>
    <w:rsid w:val="00723FC1"/>
    <w:rPr>
      <w:lang w:val="en-CA"/>
    </w:rPr>
  </w:style>
  <w:style w:type="character" w:styleId="PageNumber">
    <w:name w:val="page number"/>
    <w:basedOn w:val="DefaultParagraphFont"/>
    <w:uiPriority w:val="99"/>
    <w:semiHidden/>
    <w:unhideWhenUsed/>
    <w:rsid w:val="00723FC1"/>
  </w:style>
  <w:style w:type="paragraph" w:styleId="FootnoteText">
    <w:name w:val="footnote text"/>
    <w:basedOn w:val="Normal"/>
    <w:link w:val="FootnoteTextChar"/>
    <w:uiPriority w:val="99"/>
    <w:unhideWhenUsed/>
    <w:rsid w:val="00723FC1"/>
  </w:style>
  <w:style w:type="character" w:customStyle="1" w:styleId="FootnoteTextChar">
    <w:name w:val="Footnote Text Char"/>
    <w:basedOn w:val="DefaultParagraphFont"/>
    <w:link w:val="FootnoteText"/>
    <w:uiPriority w:val="99"/>
    <w:rsid w:val="00723FC1"/>
    <w:rPr>
      <w:lang w:val="en-CA"/>
    </w:rPr>
  </w:style>
  <w:style w:type="character" w:styleId="FootnoteReference">
    <w:name w:val="footnote reference"/>
    <w:basedOn w:val="DefaultParagraphFont"/>
    <w:uiPriority w:val="99"/>
    <w:unhideWhenUsed/>
    <w:rsid w:val="00723FC1"/>
    <w:rPr>
      <w:vertAlign w:val="superscript"/>
    </w:rPr>
  </w:style>
  <w:style w:type="character" w:styleId="Hyperlink">
    <w:name w:val="Hyperlink"/>
    <w:basedOn w:val="DefaultParagraphFont"/>
    <w:uiPriority w:val="99"/>
    <w:unhideWhenUsed/>
    <w:rsid w:val="00B86F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FC1"/>
    <w:pPr>
      <w:tabs>
        <w:tab w:val="center" w:pos="4320"/>
        <w:tab w:val="right" w:pos="8640"/>
      </w:tabs>
    </w:pPr>
  </w:style>
  <w:style w:type="character" w:customStyle="1" w:styleId="HeaderChar">
    <w:name w:val="Header Char"/>
    <w:basedOn w:val="DefaultParagraphFont"/>
    <w:link w:val="Header"/>
    <w:uiPriority w:val="99"/>
    <w:rsid w:val="00723FC1"/>
    <w:rPr>
      <w:lang w:val="en-CA"/>
    </w:rPr>
  </w:style>
  <w:style w:type="paragraph" w:styleId="Footer">
    <w:name w:val="footer"/>
    <w:basedOn w:val="Normal"/>
    <w:link w:val="FooterChar"/>
    <w:uiPriority w:val="99"/>
    <w:unhideWhenUsed/>
    <w:rsid w:val="00723FC1"/>
    <w:pPr>
      <w:tabs>
        <w:tab w:val="center" w:pos="4320"/>
        <w:tab w:val="right" w:pos="8640"/>
      </w:tabs>
    </w:pPr>
  </w:style>
  <w:style w:type="character" w:customStyle="1" w:styleId="FooterChar">
    <w:name w:val="Footer Char"/>
    <w:basedOn w:val="DefaultParagraphFont"/>
    <w:link w:val="Footer"/>
    <w:uiPriority w:val="99"/>
    <w:rsid w:val="00723FC1"/>
    <w:rPr>
      <w:lang w:val="en-CA"/>
    </w:rPr>
  </w:style>
  <w:style w:type="character" w:styleId="PageNumber">
    <w:name w:val="page number"/>
    <w:basedOn w:val="DefaultParagraphFont"/>
    <w:uiPriority w:val="99"/>
    <w:semiHidden/>
    <w:unhideWhenUsed/>
    <w:rsid w:val="00723FC1"/>
  </w:style>
  <w:style w:type="paragraph" w:styleId="FootnoteText">
    <w:name w:val="footnote text"/>
    <w:basedOn w:val="Normal"/>
    <w:link w:val="FootnoteTextChar"/>
    <w:uiPriority w:val="99"/>
    <w:unhideWhenUsed/>
    <w:rsid w:val="00723FC1"/>
  </w:style>
  <w:style w:type="character" w:customStyle="1" w:styleId="FootnoteTextChar">
    <w:name w:val="Footnote Text Char"/>
    <w:basedOn w:val="DefaultParagraphFont"/>
    <w:link w:val="FootnoteText"/>
    <w:uiPriority w:val="99"/>
    <w:rsid w:val="00723FC1"/>
    <w:rPr>
      <w:lang w:val="en-CA"/>
    </w:rPr>
  </w:style>
  <w:style w:type="character" w:styleId="FootnoteReference">
    <w:name w:val="footnote reference"/>
    <w:basedOn w:val="DefaultParagraphFont"/>
    <w:uiPriority w:val="99"/>
    <w:unhideWhenUsed/>
    <w:rsid w:val="00723FC1"/>
    <w:rPr>
      <w:vertAlign w:val="superscript"/>
    </w:rPr>
  </w:style>
  <w:style w:type="character" w:styleId="Hyperlink">
    <w:name w:val="Hyperlink"/>
    <w:basedOn w:val="DefaultParagraphFont"/>
    <w:uiPriority w:val="99"/>
    <w:unhideWhenUsed/>
    <w:rsid w:val="00B86F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890</TotalTime>
  <Pages>7</Pages>
  <Words>1271</Words>
  <Characters>7248</Characters>
  <Application>Microsoft Macintosh Word</Application>
  <DocSecurity>0</DocSecurity>
  <Lines>60</Lines>
  <Paragraphs>17</Paragraphs>
  <ScaleCrop>false</ScaleCrop>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Rerick</dc:creator>
  <cp:keywords/>
  <dc:description/>
  <cp:lastModifiedBy>Cassie Rerick</cp:lastModifiedBy>
  <cp:revision>14</cp:revision>
  <dcterms:created xsi:type="dcterms:W3CDTF">2016-10-18T21:38:00Z</dcterms:created>
  <dcterms:modified xsi:type="dcterms:W3CDTF">2016-11-25T05:38:00Z</dcterms:modified>
</cp:coreProperties>
</file>